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E44283"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438E058D" w14:textId="74162C4A" w:rsidR="00C40853" w:rsidRDefault="006165AA" w:rsidP="00E44283">
      <w:pPr>
        <w:widowControl w:val="0"/>
        <w:autoSpaceDE w:val="0"/>
        <w:autoSpaceDN w:val="0"/>
        <w:adjustRightInd w:val="0"/>
        <w:rPr>
          <w:rFonts w:ascii="Cambria" w:hAnsi="Cambria" w:cs="Cambria"/>
          <w:b/>
          <w:bCs/>
        </w:rPr>
      </w:pPr>
      <w:r>
        <w:rPr>
          <w:rFonts w:ascii="Cambria" w:hAnsi="Cambria" w:cs="Cambria"/>
          <w:b/>
          <w:bCs/>
        </w:rPr>
        <w:t xml:space="preserve">Office hours: </w:t>
      </w:r>
      <w:r w:rsidR="00E44283">
        <w:rPr>
          <w:rFonts w:ascii="Cambria" w:hAnsi="Cambria" w:cs="Cambria"/>
          <w:b/>
          <w:bCs/>
        </w:rPr>
        <w:t>10-12 M</w:t>
      </w:r>
      <w:proofErr w:type="gramStart"/>
      <w:r w:rsidR="00E44283">
        <w:rPr>
          <w:rFonts w:ascii="Cambria" w:hAnsi="Cambria" w:cs="Cambria"/>
          <w:b/>
          <w:bCs/>
        </w:rPr>
        <w:t>,W,F</w:t>
      </w:r>
      <w:proofErr w:type="gramEnd"/>
    </w:p>
    <w:p w14:paraId="11AE18B5" w14:textId="67A396CA" w:rsidR="00E44283" w:rsidRDefault="00E44283" w:rsidP="00E44283">
      <w:pPr>
        <w:widowControl w:val="0"/>
        <w:autoSpaceDE w:val="0"/>
        <w:autoSpaceDN w:val="0"/>
        <w:adjustRightInd w:val="0"/>
        <w:rPr>
          <w:rFonts w:ascii="Cambria" w:hAnsi="Cambria" w:cs="Cambria"/>
          <w:b/>
          <w:bCs/>
        </w:rPr>
      </w:pPr>
      <w:r>
        <w:rPr>
          <w:rFonts w:ascii="Cambria" w:hAnsi="Cambria" w:cs="Cambria"/>
          <w:b/>
          <w:bCs/>
        </w:rPr>
        <w:t>a</w:t>
      </w:r>
      <w:bookmarkStart w:id="0" w:name="_GoBack"/>
      <w:bookmarkEnd w:id="0"/>
      <w:r>
        <w:rPr>
          <w:rFonts w:ascii="Cambria" w:hAnsi="Cambria" w:cs="Cambria"/>
          <w:b/>
          <w:bCs/>
        </w:rPr>
        <w:t>nd by appointment</w:t>
      </w:r>
    </w:p>
    <w:p w14:paraId="4FAFFEE4" w14:textId="77777777" w:rsidR="001317CA" w:rsidRDefault="001317CA" w:rsidP="001317CA">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02E12E30" w14:textId="3AB9C106" w:rsidR="001317CA" w:rsidRDefault="001317CA" w:rsidP="001317CA">
      <w:pPr>
        <w:widowControl w:val="0"/>
        <w:autoSpaceDE w:val="0"/>
        <w:autoSpaceDN w:val="0"/>
        <w:adjustRightInd w:val="0"/>
        <w:rPr>
          <w:rFonts w:ascii="Cambria" w:hAnsi="Cambria" w:cs="Cambria"/>
          <w:b/>
          <w:bCs/>
        </w:rPr>
      </w:pPr>
      <w:r>
        <w:rPr>
          <w:rFonts w:ascii="Cambria" w:hAnsi="Cambria" w:cs="Cambria"/>
          <w:b/>
          <w:bCs/>
        </w:rPr>
        <w:t>SI: Aaron Foster</w:t>
      </w:r>
    </w:p>
    <w:p w14:paraId="13B5A64E" w14:textId="2919CD63" w:rsidR="001317CA" w:rsidRDefault="00E44283" w:rsidP="001317CA">
      <w:pPr>
        <w:widowControl w:val="0"/>
        <w:autoSpaceDE w:val="0"/>
        <w:autoSpaceDN w:val="0"/>
        <w:adjustRightInd w:val="0"/>
        <w:rPr>
          <w:rFonts w:ascii="Cambria" w:hAnsi="Cambria" w:cs="Cambria"/>
          <w:b/>
          <w:bCs/>
        </w:rPr>
      </w:pPr>
      <w:hyperlink r:id="rId9" w:history="1">
        <w:r w:rsidR="001317CA" w:rsidRPr="00CC6990">
          <w:rPr>
            <w:rStyle w:val="Hyperlink"/>
            <w:rFonts w:ascii="Cambria" w:hAnsi="Cambria" w:cs="Cambria"/>
            <w:b/>
            <w:bCs/>
          </w:rPr>
          <w:t>Afoster12@ehc.edu</w:t>
        </w:r>
      </w:hyperlink>
    </w:p>
    <w:p w14:paraId="208836AC" w14:textId="6BA37E00" w:rsidR="001317CA" w:rsidRDefault="001317CA" w:rsidP="001317CA">
      <w:pPr>
        <w:widowControl w:val="0"/>
        <w:autoSpaceDE w:val="0"/>
        <w:autoSpaceDN w:val="0"/>
        <w:adjustRightInd w:val="0"/>
        <w:rPr>
          <w:rFonts w:ascii="Cambria" w:hAnsi="Cambria" w:cs="Cambria"/>
          <w:b/>
          <w:bCs/>
        </w:rPr>
      </w:pPr>
      <w:r>
        <w:rPr>
          <w:rFonts w:ascii="Cambria" w:hAnsi="Cambria" w:cs="Cambria"/>
          <w:b/>
          <w:bCs/>
        </w:rPr>
        <w:t>Cell: 276-617-8085</w:t>
      </w: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1317CA">
          <w:headerReference w:type="even" r:id="rId10"/>
          <w:headerReference w:type="default" r:id="rId11"/>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4AD53B8C"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14</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2CE452B8"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16</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774DA200"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21</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37339073"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23</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431F058A" w:rsidR="00655133" w:rsidRPr="00087608" w:rsidRDefault="00D504AC" w:rsidP="00655133">
      <w:pPr>
        <w:widowControl w:val="0"/>
        <w:autoSpaceDE w:val="0"/>
        <w:autoSpaceDN w:val="0"/>
        <w:adjustRightInd w:val="0"/>
        <w:rPr>
          <w:rFonts w:ascii="Cambria" w:hAnsi="Cambria" w:cs="Cambria"/>
          <w:b/>
        </w:rPr>
      </w:pPr>
      <w:r>
        <w:rPr>
          <w:rFonts w:ascii="Cambria" w:hAnsi="Cambria" w:cs="Cambria"/>
          <w:u w:val="single"/>
        </w:rPr>
        <w:t>Jan. 26</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446DA607" w:rsidR="00655133" w:rsidRDefault="00D504AC" w:rsidP="00655133">
      <w:pPr>
        <w:widowControl w:val="0"/>
        <w:autoSpaceDE w:val="0"/>
        <w:autoSpaceDN w:val="0"/>
        <w:adjustRightInd w:val="0"/>
        <w:rPr>
          <w:rFonts w:ascii="Cambria" w:hAnsi="Cambria" w:cs="Cambria"/>
        </w:rPr>
      </w:pPr>
      <w:r>
        <w:rPr>
          <w:rFonts w:ascii="Cambria" w:hAnsi="Cambria" w:cs="Cambria"/>
          <w:u w:val="single"/>
        </w:rPr>
        <w:t>Jan. 28</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0633ADD0" w:rsidR="00655133" w:rsidRPr="00743D00" w:rsidRDefault="00D504AC" w:rsidP="00655133">
      <w:pPr>
        <w:widowControl w:val="0"/>
        <w:autoSpaceDE w:val="0"/>
        <w:autoSpaceDN w:val="0"/>
        <w:adjustRightInd w:val="0"/>
        <w:rPr>
          <w:rFonts w:ascii="Cambria" w:hAnsi="Cambria" w:cs="Cambria"/>
        </w:rPr>
      </w:pPr>
      <w:r>
        <w:rPr>
          <w:rFonts w:ascii="Cambria" w:hAnsi="Cambria" w:cs="Cambria"/>
          <w:u w:val="single"/>
        </w:rPr>
        <w:t>Jan. 30</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15D72422"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2</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703E2BE7" w:rsidR="00655133" w:rsidRPr="00B4406A" w:rsidRDefault="00D504AC" w:rsidP="00655133">
      <w:pPr>
        <w:widowControl w:val="0"/>
        <w:autoSpaceDE w:val="0"/>
        <w:autoSpaceDN w:val="0"/>
        <w:adjustRightInd w:val="0"/>
        <w:rPr>
          <w:rFonts w:ascii="Cambria" w:hAnsi="Cambria" w:cs="Cambria"/>
          <w:b/>
        </w:rPr>
      </w:pPr>
      <w:r>
        <w:rPr>
          <w:rFonts w:ascii="Cambria" w:hAnsi="Cambria" w:cs="Cambria"/>
          <w:u w:val="single"/>
        </w:rPr>
        <w:t>Feb. 4</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28272299"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6</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0B8ECB0B"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9</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0747FA53"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11</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1066AB12" w:rsidR="00655133" w:rsidRDefault="00D504AC" w:rsidP="00655133">
      <w:pPr>
        <w:widowControl w:val="0"/>
        <w:autoSpaceDE w:val="0"/>
        <w:autoSpaceDN w:val="0"/>
        <w:adjustRightInd w:val="0"/>
        <w:rPr>
          <w:rFonts w:ascii="Cambria" w:hAnsi="Cambria" w:cs="Cambria"/>
        </w:rPr>
      </w:pPr>
      <w:r>
        <w:rPr>
          <w:rFonts w:ascii="Cambria" w:hAnsi="Cambria" w:cs="Cambria"/>
          <w:u w:val="single"/>
        </w:rPr>
        <w:t>Feb. 13</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7CC6E38D" w:rsidR="00655133" w:rsidRPr="00F4519A" w:rsidRDefault="00D504AC" w:rsidP="00655133">
      <w:pPr>
        <w:widowControl w:val="0"/>
        <w:autoSpaceDE w:val="0"/>
        <w:autoSpaceDN w:val="0"/>
        <w:adjustRightInd w:val="0"/>
        <w:rPr>
          <w:rFonts w:ascii="Cambria" w:hAnsi="Cambria" w:cs="Cambria"/>
          <w:u w:val="single"/>
        </w:rPr>
      </w:pPr>
      <w:r>
        <w:rPr>
          <w:rFonts w:ascii="Cambria" w:hAnsi="Cambria" w:cs="Cambria"/>
          <w:u w:val="single"/>
        </w:rPr>
        <w:t>Feb. 16</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2FBB7B48" w:rsidR="00655133" w:rsidRPr="00001803" w:rsidRDefault="00D504AC" w:rsidP="00655133">
      <w:pPr>
        <w:widowControl w:val="0"/>
        <w:autoSpaceDE w:val="0"/>
        <w:autoSpaceDN w:val="0"/>
        <w:adjustRightInd w:val="0"/>
        <w:rPr>
          <w:rFonts w:ascii="Cambria" w:hAnsi="Cambria" w:cs="Cambria"/>
          <w:iCs/>
        </w:rPr>
      </w:pPr>
      <w:r>
        <w:rPr>
          <w:rFonts w:ascii="Cambria" w:hAnsi="Cambria" w:cs="Cambria"/>
          <w:iCs/>
          <w:u w:val="single"/>
        </w:rPr>
        <w:t>Feb. 18</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1A65FBB2"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20</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1C17D1B3"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23</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594221B8"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25</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0362DF7F"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Feb. 27</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30C32076" w:rsidR="00655133" w:rsidRPr="00143741" w:rsidRDefault="00D504AC" w:rsidP="00655133">
      <w:pPr>
        <w:widowControl w:val="0"/>
        <w:autoSpaceDE w:val="0"/>
        <w:autoSpaceDN w:val="0"/>
        <w:adjustRightInd w:val="0"/>
        <w:rPr>
          <w:rFonts w:ascii="Cambria" w:hAnsi="Cambria" w:cs="Cambria"/>
          <w:b/>
          <w:iCs/>
        </w:rPr>
      </w:pPr>
      <w:r>
        <w:rPr>
          <w:rFonts w:ascii="Cambria" w:hAnsi="Cambria" w:cs="Cambria"/>
          <w:iCs/>
          <w:u w:val="single"/>
        </w:rPr>
        <w:t>Mar. 2</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3568EEC0"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4</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1C407E35"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6</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276C35D8" w14:textId="7CF71F60" w:rsidR="00D504AC" w:rsidRPr="00D504AC" w:rsidRDefault="00D504AC" w:rsidP="00655133">
      <w:pPr>
        <w:widowControl w:val="0"/>
        <w:autoSpaceDE w:val="0"/>
        <w:autoSpaceDN w:val="0"/>
        <w:adjustRightInd w:val="0"/>
        <w:rPr>
          <w:rFonts w:ascii="Cambria" w:hAnsi="Cambria" w:cs="Cambria"/>
          <w:b/>
          <w:iCs/>
        </w:rPr>
      </w:pPr>
      <w:r>
        <w:rPr>
          <w:rFonts w:ascii="Cambria" w:hAnsi="Cambria" w:cs="Cambria"/>
          <w:iCs/>
          <w:u w:val="single"/>
        </w:rPr>
        <w:t>Mar.9-13</w:t>
      </w:r>
      <w:r>
        <w:rPr>
          <w:rFonts w:ascii="Cambria" w:hAnsi="Cambria" w:cs="Cambria"/>
          <w:iCs/>
        </w:rPr>
        <w:t xml:space="preserve">: </w:t>
      </w:r>
      <w:r>
        <w:rPr>
          <w:rFonts w:ascii="Cambria" w:hAnsi="Cambria" w:cs="Cambria"/>
          <w:b/>
          <w:iCs/>
        </w:rPr>
        <w:t>Spring Break!</w:t>
      </w:r>
    </w:p>
    <w:p w14:paraId="7D5A7855" w14:textId="77777777" w:rsidR="00D504AC" w:rsidRDefault="00D504AC" w:rsidP="00655133">
      <w:pPr>
        <w:widowControl w:val="0"/>
        <w:autoSpaceDE w:val="0"/>
        <w:autoSpaceDN w:val="0"/>
        <w:adjustRightInd w:val="0"/>
        <w:rPr>
          <w:rFonts w:ascii="Cambria" w:hAnsi="Cambria" w:cs="Cambria"/>
          <w:iCs/>
          <w:u w:val="single"/>
        </w:rPr>
      </w:pPr>
    </w:p>
    <w:p w14:paraId="72F9EF39" w14:textId="34013D2D"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16</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198819D9"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18</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6040292F" w:rsidR="00655133" w:rsidRPr="005B0A21" w:rsidRDefault="00D504AC" w:rsidP="00655133">
      <w:pPr>
        <w:widowControl w:val="0"/>
        <w:autoSpaceDE w:val="0"/>
        <w:autoSpaceDN w:val="0"/>
        <w:adjustRightInd w:val="0"/>
        <w:rPr>
          <w:rFonts w:ascii="Cambria" w:hAnsi="Cambria" w:cs="Cambria"/>
          <w:b/>
          <w:iCs/>
        </w:rPr>
      </w:pPr>
      <w:r>
        <w:rPr>
          <w:rFonts w:ascii="Cambria" w:hAnsi="Cambria" w:cs="Cambria"/>
          <w:iCs/>
          <w:u w:val="single"/>
        </w:rPr>
        <w:t>Mar. 20</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1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02926ACD"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w:t>
      </w:r>
      <w:r w:rsidR="00EC247C">
        <w:rPr>
          <w:rFonts w:ascii="Cambria" w:hAnsi="Cambria" w:cs="Cambria"/>
          <w:iCs/>
          <w:u w:val="single"/>
        </w:rPr>
        <w:t>. 2</w:t>
      </w:r>
      <w:r>
        <w:rPr>
          <w:rFonts w:ascii="Cambria" w:hAnsi="Cambria" w:cs="Cambria"/>
          <w:iCs/>
          <w:u w:val="single"/>
        </w:rPr>
        <w:t>3</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1D360A4B"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25</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4D168030"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27</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4059C50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Mar. 30</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43E8C26D" w:rsidR="00505B23" w:rsidRDefault="00D504AC" w:rsidP="00655133">
      <w:pPr>
        <w:widowControl w:val="0"/>
        <w:autoSpaceDE w:val="0"/>
        <w:autoSpaceDN w:val="0"/>
        <w:adjustRightInd w:val="0"/>
        <w:rPr>
          <w:rFonts w:ascii="Cambria" w:hAnsi="Cambria" w:cs="Cambria"/>
          <w:iCs/>
        </w:rPr>
      </w:pPr>
      <w:r>
        <w:rPr>
          <w:rFonts w:ascii="Cambria" w:hAnsi="Cambria" w:cs="Cambria"/>
          <w:iCs/>
          <w:u w:val="single"/>
        </w:rPr>
        <w:t>Apr. 1</w:t>
      </w:r>
      <w:r w:rsidR="00505B23">
        <w:rPr>
          <w:rFonts w:ascii="Cambria" w:hAnsi="Cambria" w:cs="Cambria"/>
          <w:iCs/>
        </w:rPr>
        <w:t>: Christian Ritual and Practice (</w:t>
      </w:r>
      <w:r w:rsidR="00505B23">
        <w:rPr>
          <w:rFonts w:ascii="Cambria" w:hAnsi="Cambria" w:cs="Cambria"/>
          <w:b/>
          <w:iCs/>
        </w:rPr>
        <w:t xml:space="preserve">SP: </w:t>
      </w:r>
      <w:r w:rsidR="00505B23">
        <w:rPr>
          <w:rFonts w:ascii="Cambria" w:hAnsi="Cambria" w:cs="Cambria"/>
          <w:iCs/>
        </w:rPr>
        <w:t xml:space="preserve">pp. 431 – 447; </w:t>
      </w:r>
      <w:r w:rsidR="00505B23">
        <w:rPr>
          <w:rFonts w:ascii="Cambria" w:hAnsi="Cambria" w:cs="Cambria"/>
          <w:b/>
          <w:iCs/>
        </w:rPr>
        <w:t xml:space="preserve">WS: </w:t>
      </w:r>
      <w:r w:rsidR="00505B23">
        <w:rPr>
          <w:rFonts w:ascii="Cambria" w:hAnsi="Cambria" w:cs="Cambria"/>
          <w:iCs/>
        </w:rPr>
        <w:t>282 – 285.)</w:t>
      </w:r>
    </w:p>
    <w:p w14:paraId="50462289" w14:textId="77777777" w:rsidR="00655133" w:rsidRDefault="00655133" w:rsidP="00655133">
      <w:pPr>
        <w:widowControl w:val="0"/>
        <w:autoSpaceDE w:val="0"/>
        <w:autoSpaceDN w:val="0"/>
        <w:adjustRightInd w:val="0"/>
        <w:rPr>
          <w:rFonts w:ascii="Cambria" w:hAnsi="Cambria" w:cs="Cambria"/>
          <w:iCs/>
        </w:rPr>
      </w:pPr>
    </w:p>
    <w:p w14:paraId="53779D13" w14:textId="2ED1B4B3" w:rsidR="00D504AC" w:rsidRDefault="00D504AC" w:rsidP="00655133">
      <w:pPr>
        <w:widowControl w:val="0"/>
        <w:autoSpaceDE w:val="0"/>
        <w:autoSpaceDN w:val="0"/>
        <w:adjustRightInd w:val="0"/>
        <w:rPr>
          <w:rFonts w:ascii="Cambria" w:hAnsi="Cambria" w:cs="Cambria"/>
          <w:b/>
          <w:iCs/>
        </w:rPr>
      </w:pPr>
      <w:r w:rsidRPr="00D504AC">
        <w:rPr>
          <w:rFonts w:ascii="Cambria" w:hAnsi="Cambria" w:cs="Cambria"/>
          <w:iCs/>
          <w:u w:val="single"/>
        </w:rPr>
        <w:t>Apr. 3</w:t>
      </w:r>
      <w:r>
        <w:rPr>
          <w:rFonts w:ascii="Cambria" w:hAnsi="Cambria" w:cs="Cambria"/>
          <w:b/>
          <w:iCs/>
        </w:rPr>
        <w:t>: Good Friday</w:t>
      </w:r>
    </w:p>
    <w:p w14:paraId="3E0E05DA" w14:textId="77777777" w:rsidR="00D504AC" w:rsidRDefault="00D504AC" w:rsidP="00655133">
      <w:pPr>
        <w:widowControl w:val="0"/>
        <w:autoSpaceDE w:val="0"/>
        <w:autoSpaceDN w:val="0"/>
        <w:adjustRightInd w:val="0"/>
        <w:rPr>
          <w:rFonts w:ascii="Cambria" w:hAnsi="Cambria" w:cs="Cambria"/>
          <w:b/>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66F02F47"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6</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2B4EA5CB" w:rsidR="00655133"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Apr. 8</w:t>
      </w:r>
      <w:r w:rsidR="00A67BC6">
        <w:rPr>
          <w:rFonts w:ascii="Cambria" w:hAnsi="Cambria" w:cs="Cambria"/>
          <w:iCs/>
        </w:rPr>
        <w:t xml:space="preserve">: </w:t>
      </w:r>
      <w:r w:rsidR="00655133">
        <w:rPr>
          <w:rFonts w:ascii="Cambria" w:hAnsi="Cambria" w:cs="Cambria"/>
          <w:iCs/>
        </w:rPr>
        <w:t xml:space="preserve">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0F204765"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10</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453DC5B5"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13</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5B619173" w:rsidR="00EC247C" w:rsidRDefault="00D504AC" w:rsidP="00655133">
      <w:pPr>
        <w:widowControl w:val="0"/>
        <w:autoSpaceDE w:val="0"/>
        <w:autoSpaceDN w:val="0"/>
        <w:adjustRightInd w:val="0"/>
        <w:rPr>
          <w:rFonts w:ascii="Cambria" w:hAnsi="Cambria" w:cs="Cambria"/>
          <w:iCs/>
        </w:rPr>
      </w:pPr>
      <w:r w:rsidRPr="00D504AC">
        <w:rPr>
          <w:rFonts w:ascii="Cambria" w:hAnsi="Cambria" w:cs="Cambria"/>
          <w:iCs/>
          <w:u w:val="single"/>
        </w:rPr>
        <w:t>Apr. 15</w:t>
      </w:r>
      <w:r w:rsidR="00EC247C">
        <w:rPr>
          <w:rFonts w:ascii="Cambria" w:hAnsi="Cambria" w:cs="Cambria"/>
          <w:iCs/>
        </w:rPr>
        <w:t xml:space="preserve">: </w:t>
      </w:r>
      <w:r w:rsidR="00EC247C" w:rsidRPr="00EC247C">
        <w:rPr>
          <w:rFonts w:ascii="Cambria" w:hAnsi="Cambria" w:cs="Cambria"/>
          <w:iCs/>
        </w:rPr>
        <w:t>Muslim Beliefs Continued</w:t>
      </w:r>
    </w:p>
    <w:p w14:paraId="249FDCAF" w14:textId="77777777" w:rsidR="00655133" w:rsidRDefault="00655133" w:rsidP="00655133">
      <w:pPr>
        <w:widowControl w:val="0"/>
        <w:autoSpaceDE w:val="0"/>
        <w:autoSpaceDN w:val="0"/>
        <w:adjustRightInd w:val="0"/>
        <w:rPr>
          <w:rFonts w:ascii="Cambria" w:hAnsi="Cambria" w:cs="Cambria"/>
          <w:iCs/>
        </w:rPr>
      </w:pPr>
    </w:p>
    <w:p w14:paraId="7358EF87" w14:textId="63B26F3D" w:rsidR="00EC247C" w:rsidRDefault="00D504AC" w:rsidP="00EC247C">
      <w:pPr>
        <w:widowControl w:val="0"/>
        <w:autoSpaceDE w:val="0"/>
        <w:autoSpaceDN w:val="0"/>
        <w:adjustRightInd w:val="0"/>
        <w:rPr>
          <w:rFonts w:ascii="Cambria" w:hAnsi="Cambria" w:cs="Cambria"/>
          <w:iCs/>
        </w:rPr>
      </w:pPr>
      <w:r>
        <w:rPr>
          <w:rFonts w:ascii="Cambria" w:hAnsi="Cambria" w:cs="Cambria"/>
          <w:iCs/>
          <w:u w:val="single"/>
        </w:rPr>
        <w:t>Apr. 17</w:t>
      </w:r>
      <w:r w:rsidR="00EC247C">
        <w:rPr>
          <w:rFonts w:ascii="Cambria" w:hAnsi="Cambria" w:cs="Cambria"/>
          <w:iCs/>
        </w:rPr>
        <w:t xml:space="preserve">: </w:t>
      </w:r>
      <w:r w:rsidR="00EC247C">
        <w:rPr>
          <w:rFonts w:ascii="Cambria" w:hAnsi="Cambria" w:cs="Cambria"/>
          <w:b/>
          <w:iCs/>
        </w:rPr>
        <w:t>Exam III</w:t>
      </w:r>
    </w:p>
    <w:p w14:paraId="7D1289B5" w14:textId="77777777" w:rsidR="00C21CF8" w:rsidRDefault="00C21CF8"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0E87481A"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20</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652D062A" w:rsidR="00655133" w:rsidRDefault="00D504AC" w:rsidP="00655133">
      <w:pPr>
        <w:widowControl w:val="0"/>
        <w:autoSpaceDE w:val="0"/>
        <w:autoSpaceDN w:val="0"/>
        <w:adjustRightInd w:val="0"/>
        <w:rPr>
          <w:rFonts w:ascii="Cambria" w:hAnsi="Cambria" w:cs="Cambria"/>
          <w:iCs/>
        </w:rPr>
      </w:pPr>
      <w:r>
        <w:rPr>
          <w:rFonts w:ascii="Cambria" w:hAnsi="Cambria" w:cs="Cambria"/>
          <w:iCs/>
          <w:u w:val="single"/>
        </w:rPr>
        <w:t>Apr. 22</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r w:rsidR="00C40853">
        <w:rPr>
          <w:rFonts w:ascii="Cambria" w:hAnsi="Cambria" w:cs="Cambria"/>
          <w:iCs/>
        </w:rPr>
        <w:t xml:space="preserve"> </w:t>
      </w:r>
      <w:r w:rsidR="00C40853">
        <w:rPr>
          <w:rFonts w:ascii="Cambria" w:hAnsi="Cambria" w:cs="Cambria"/>
          <w:b/>
          <w:iCs/>
        </w:rPr>
        <w:t>PAPER 2 DUE!!!</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7574FC43" w:rsidR="00655133" w:rsidRPr="00C21CF8" w:rsidRDefault="00D504AC" w:rsidP="00655133">
      <w:pPr>
        <w:widowControl w:val="0"/>
        <w:autoSpaceDE w:val="0"/>
        <w:autoSpaceDN w:val="0"/>
        <w:adjustRightInd w:val="0"/>
        <w:rPr>
          <w:rFonts w:ascii="Cambria" w:hAnsi="Cambria" w:cs="Cambria"/>
          <w:b/>
          <w:iCs/>
        </w:rPr>
      </w:pPr>
      <w:r>
        <w:rPr>
          <w:rFonts w:ascii="Cambria" w:hAnsi="Cambria" w:cs="Cambria"/>
          <w:iCs/>
          <w:u w:val="single"/>
        </w:rPr>
        <w:t>Apr. 24</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r w:rsidR="00C21CF8">
        <w:rPr>
          <w:rFonts w:ascii="Cambria" w:hAnsi="Cambria" w:cs="Cambria"/>
          <w:iCs/>
        </w:rPr>
        <w:t xml:space="preserve">  </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766F806F" w:rsidR="00655133" w:rsidRPr="005B0A21" w:rsidRDefault="00D504AC" w:rsidP="00655133">
      <w:pPr>
        <w:widowControl w:val="0"/>
        <w:autoSpaceDE w:val="0"/>
        <w:autoSpaceDN w:val="0"/>
        <w:adjustRightInd w:val="0"/>
        <w:rPr>
          <w:rFonts w:ascii="Cambria" w:hAnsi="Cambria" w:cs="Cambria"/>
          <w:b/>
          <w:iCs/>
        </w:rPr>
      </w:pPr>
      <w:r>
        <w:rPr>
          <w:rFonts w:ascii="Cambria" w:hAnsi="Cambria" w:cs="Cambria"/>
          <w:iCs/>
          <w:u w:val="single"/>
        </w:rPr>
        <w:t>Apr. 27</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23A14575" w:rsidR="00655133" w:rsidRPr="0083687F" w:rsidRDefault="00D504AC" w:rsidP="00655133">
      <w:pPr>
        <w:widowControl w:val="0"/>
        <w:autoSpaceDE w:val="0"/>
        <w:autoSpaceDN w:val="0"/>
        <w:adjustRightInd w:val="0"/>
        <w:rPr>
          <w:rFonts w:ascii="Cambria" w:hAnsi="Cambria" w:cs="Cambria"/>
          <w:iCs/>
        </w:rPr>
      </w:pPr>
      <w:r>
        <w:rPr>
          <w:rFonts w:ascii="Cambria" w:hAnsi="Cambria" w:cs="Cambria"/>
          <w:iCs/>
          <w:u w:val="single"/>
        </w:rPr>
        <w:t>Apr. 28</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5142B339" w:rsidR="00655133" w:rsidRDefault="00F17684" w:rsidP="00655133">
      <w:pPr>
        <w:widowControl w:val="0"/>
        <w:autoSpaceDE w:val="0"/>
        <w:autoSpaceDN w:val="0"/>
        <w:adjustRightInd w:val="0"/>
        <w:rPr>
          <w:rFonts w:ascii="Cambria" w:hAnsi="Cambria" w:cs="Cambria"/>
          <w:b/>
          <w:bCs/>
        </w:rPr>
      </w:pPr>
      <w:r>
        <w:rPr>
          <w:rFonts w:ascii="Cambria" w:hAnsi="Cambria" w:cs="Cambria"/>
          <w:b/>
          <w:bCs/>
        </w:rPr>
        <w:t>May 4</w:t>
      </w:r>
      <w:r w:rsidR="00655133">
        <w:rPr>
          <w:rFonts w:ascii="Cambria" w:hAnsi="Cambria" w:cs="Cambria"/>
          <w:b/>
          <w:bCs/>
        </w:rPr>
        <w:t>: FINAL EXAM</w:t>
      </w:r>
      <w:r>
        <w:rPr>
          <w:rFonts w:ascii="Cambria" w:hAnsi="Cambria" w:cs="Cambria"/>
          <w:b/>
          <w:bCs/>
        </w:rPr>
        <w:t xml:space="preserve"> (8:30-11:30am)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0278DE62"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20B8BC20" w:rsidR="00B93E23" w:rsidRDefault="005B0A21" w:rsidP="0080532F">
      <w:pPr>
        <w:widowControl w:val="0"/>
        <w:autoSpaceDE w:val="0"/>
        <w:autoSpaceDN w:val="0"/>
        <w:adjustRightInd w:val="0"/>
        <w:rPr>
          <w:rFonts w:ascii="Cambria" w:hAnsi="Cambria" w:cs="Cambria"/>
          <w:b/>
          <w:bCs/>
        </w:rPr>
      </w:pPr>
      <w:r>
        <w:rPr>
          <w:rFonts w:ascii="Cambria" w:hAnsi="Cambria" w:cs="Cambria"/>
          <w:b/>
          <w:bCs/>
        </w:rPr>
        <w:t>3) Papers (</w:t>
      </w:r>
      <w:r w:rsidR="00C21CF8">
        <w:rPr>
          <w:rFonts w:ascii="Cambria" w:hAnsi="Cambria" w:cs="Cambria"/>
          <w:b/>
          <w:bCs/>
        </w:rPr>
        <w:t>20% – 10% each</w:t>
      </w:r>
      <w:r w:rsidR="00B93E23" w:rsidRPr="00B93E23">
        <w:rPr>
          <w:rFonts w:ascii="Cambria" w:hAnsi="Cambria" w:cs="Cambria"/>
          <w:b/>
          <w:bCs/>
        </w:rPr>
        <w:t>)</w:t>
      </w:r>
    </w:p>
    <w:p w14:paraId="76EB81F6" w14:textId="77777777" w:rsidR="00B93E23" w:rsidRDefault="00B93E23" w:rsidP="0080532F">
      <w:pPr>
        <w:widowControl w:val="0"/>
        <w:autoSpaceDE w:val="0"/>
        <w:autoSpaceDN w:val="0"/>
        <w:adjustRightInd w:val="0"/>
        <w:rPr>
          <w:rFonts w:ascii="Cambria" w:hAnsi="Cambria" w:cs="Cambria"/>
          <w:b/>
          <w:bCs/>
        </w:rPr>
      </w:pPr>
    </w:p>
    <w:p w14:paraId="6B42A1B5" w14:textId="2EF6A631" w:rsidR="00B93E23" w:rsidRDefault="00B93E23" w:rsidP="00B93E23">
      <w:pPr>
        <w:widowControl w:val="0"/>
        <w:autoSpaceDE w:val="0"/>
        <w:autoSpaceDN w:val="0"/>
        <w:adjustRightInd w:val="0"/>
        <w:rPr>
          <w:rFonts w:ascii="Cambria" w:hAnsi="Cambria" w:cs="Cambria"/>
        </w:rPr>
      </w:pPr>
      <w:r>
        <w:rPr>
          <w:rFonts w:ascii="Cambria" w:hAnsi="Cambria" w:cs="Cambria"/>
          <w:b/>
          <w:bCs/>
        </w:rPr>
        <w:t xml:space="preserve">Paper 1 </w:t>
      </w:r>
      <w:r>
        <w:rPr>
          <w:rFonts w:ascii="Cambria" w:hAnsi="Cambria" w:cs="Cambria"/>
        </w:rPr>
        <w:t>(</w:t>
      </w:r>
      <w:r w:rsidR="005B0A21">
        <w:rPr>
          <w:rFonts w:ascii="Cambria" w:hAnsi="Cambria" w:cs="Cambria"/>
        </w:rPr>
        <w:t xml:space="preserve">Exposition paper. </w:t>
      </w:r>
      <w:r>
        <w:rPr>
          <w:rFonts w:ascii="Cambria" w:hAnsi="Cambria" w:cs="Cambria"/>
        </w:rPr>
        <w:t xml:space="preserve">1,000 words.  Final draft submitted on Moodle </w:t>
      </w:r>
      <w:r w:rsidR="00F17684">
        <w:rPr>
          <w:rFonts w:ascii="Cambria" w:hAnsi="Cambria" w:cs="Cambria"/>
        </w:rPr>
        <w:t>10 minutes before class</w:t>
      </w:r>
      <w:r w:rsidR="005B0A21">
        <w:rPr>
          <w:rFonts w:ascii="Cambria" w:hAnsi="Cambria" w:cs="Cambria"/>
        </w:rPr>
        <w:t xml:space="preserve"> on </w:t>
      </w:r>
      <w:r w:rsidR="00B35160">
        <w:rPr>
          <w:rFonts w:ascii="Cambria" w:hAnsi="Cambria" w:cs="Cambria"/>
        </w:rPr>
        <w:t>Mar. 20</w:t>
      </w:r>
      <w:r w:rsidR="005B0A21">
        <w:rPr>
          <w:rFonts w:ascii="Cambria" w:hAnsi="Cambria" w:cs="Cambria"/>
        </w:rPr>
        <w:t>)</w:t>
      </w:r>
      <w:r w:rsidR="00147F78">
        <w:rPr>
          <w:rFonts w:ascii="Cambria" w:hAnsi="Cambria" w:cs="Cambria"/>
        </w:rPr>
        <w:t>.</w:t>
      </w:r>
      <w:r>
        <w:rPr>
          <w:rFonts w:ascii="Cambria" w:hAnsi="Cambria" w:cs="Cambria"/>
        </w:rPr>
        <w:t xml:space="preserve"> </w:t>
      </w:r>
    </w:p>
    <w:p w14:paraId="76427B63" w14:textId="77777777" w:rsidR="00B93E23" w:rsidRDefault="00B93E23" w:rsidP="00B93E23">
      <w:pPr>
        <w:widowControl w:val="0"/>
        <w:autoSpaceDE w:val="0"/>
        <w:autoSpaceDN w:val="0"/>
        <w:adjustRightInd w:val="0"/>
        <w:rPr>
          <w:rFonts w:ascii="Cambria" w:hAnsi="Cambria" w:cs="Cambria"/>
        </w:rPr>
      </w:pPr>
    </w:p>
    <w:p w14:paraId="6F846EB0" w14:textId="77777777" w:rsidR="00B93E23" w:rsidRDefault="00B93E23" w:rsidP="00B93E23">
      <w:pPr>
        <w:widowControl w:val="0"/>
        <w:autoSpaceDE w:val="0"/>
        <w:autoSpaceDN w:val="0"/>
        <w:adjustRightInd w:val="0"/>
        <w:rPr>
          <w:rFonts w:ascii="Cambria" w:hAnsi="Cambria" w:cs="Cambria"/>
        </w:rPr>
      </w:pPr>
      <w:r w:rsidRPr="00690469">
        <w:rPr>
          <w:rFonts w:ascii="Cambria" w:hAnsi="Cambria" w:cs="Cambria"/>
          <w:i/>
        </w:rPr>
        <w:t>General advice</w:t>
      </w:r>
      <w:r>
        <w:rPr>
          <w:rFonts w:ascii="Cambria" w:hAnsi="Cambria" w:cs="Cambria"/>
        </w:rPr>
        <w:t xml:space="preserve">: Your essay should include an introduction with a </w:t>
      </w:r>
      <w:r w:rsidRPr="00B82CDF">
        <w:rPr>
          <w:rFonts w:ascii="Cambria" w:hAnsi="Cambria" w:cs="Cambria"/>
        </w:rPr>
        <w:t>clear thesis</w:t>
      </w:r>
      <w:r w:rsidRPr="00B82CDF">
        <w:rPr>
          <w:rFonts w:ascii="Cambria" w:hAnsi="Cambria" w:cs="Cambria"/>
          <w:b/>
        </w:rPr>
        <w:t xml:space="preserve"> </w:t>
      </w:r>
      <w:r w:rsidRPr="00B82CDF">
        <w:rPr>
          <w:rFonts w:ascii="Cambria" w:hAnsi="Cambria" w:cs="Cambria"/>
        </w:rPr>
        <w:t>statement</w:t>
      </w:r>
      <w:r>
        <w:rPr>
          <w:rFonts w:ascii="Cambria" w:hAnsi="Cambria" w:cs="Cambria"/>
        </w:rPr>
        <w:t>.  Every paragraph in the body of your paper should be germane to your thesis.  The concluding paragraph should neatly summarize your essay, while also offering your final thoughts on the matter.  All quotations should be properly cited.  Failure to do so will be considered plagiarism.  Under no circumstances should you use bullet points.</w:t>
      </w:r>
    </w:p>
    <w:p w14:paraId="46973B2A" w14:textId="77777777" w:rsidR="00B93E23" w:rsidRDefault="00B93E23" w:rsidP="00B93E23">
      <w:pPr>
        <w:widowControl w:val="0"/>
        <w:autoSpaceDE w:val="0"/>
        <w:autoSpaceDN w:val="0"/>
        <w:adjustRightInd w:val="0"/>
        <w:rPr>
          <w:rFonts w:ascii="Cambria" w:hAnsi="Cambria" w:cs="Cambria"/>
        </w:rPr>
      </w:pPr>
    </w:p>
    <w:p w14:paraId="43E5A25E" w14:textId="13E1F9C0" w:rsidR="00B93E23" w:rsidRDefault="00B93E23" w:rsidP="0080532F">
      <w:pPr>
        <w:widowControl w:val="0"/>
        <w:autoSpaceDE w:val="0"/>
        <w:autoSpaceDN w:val="0"/>
        <w:adjustRightInd w:val="0"/>
        <w:rPr>
          <w:rFonts w:ascii="Cambria" w:hAnsi="Cambria" w:cs="Cambria"/>
        </w:rPr>
      </w:pPr>
      <w:r>
        <w:rPr>
          <w:rFonts w:ascii="Cambria" w:hAnsi="Cambria" w:cs="Cambria"/>
          <w:i/>
        </w:rPr>
        <w:t>Writing Prompt.</w:t>
      </w:r>
      <w:r>
        <w:rPr>
          <w:rFonts w:ascii="Cambria" w:hAnsi="Cambria" w:cs="Cambria"/>
        </w:rPr>
        <w:t xml:space="preserve">  Pick a concept, idea or figure from your study of Navajo religion, An</w:t>
      </w:r>
      <w:r w:rsidR="005B0A21">
        <w:rPr>
          <w:rFonts w:ascii="Cambria" w:hAnsi="Cambria" w:cs="Cambria"/>
        </w:rPr>
        <w:t xml:space="preserve">cient Mesopotamian religion, </w:t>
      </w:r>
      <w:r>
        <w:rPr>
          <w:rFonts w:ascii="Cambria" w:hAnsi="Cambria" w:cs="Cambria"/>
        </w:rPr>
        <w:t>Hinduism</w:t>
      </w:r>
      <w:r w:rsidR="005B0A21">
        <w:rPr>
          <w:rFonts w:ascii="Cambria" w:hAnsi="Cambria" w:cs="Cambria"/>
        </w:rPr>
        <w:t>, Buddhism or Judaism</w:t>
      </w:r>
      <w:r>
        <w:rPr>
          <w:rFonts w:ascii="Cambria" w:hAnsi="Cambria" w:cs="Cambria"/>
        </w:rPr>
        <w:t xml:space="preserve">.  Explain it. </w:t>
      </w:r>
      <w:r w:rsidR="00C40853">
        <w:rPr>
          <w:rFonts w:ascii="Cambria" w:hAnsi="Cambria" w:cs="Cambria"/>
        </w:rPr>
        <w:t xml:space="preserve"> Cite at least two reputable sources.</w:t>
      </w:r>
      <w:r>
        <w:rPr>
          <w:rFonts w:ascii="Cambria" w:hAnsi="Cambria" w:cs="Cambria"/>
        </w:rPr>
        <w:t xml:space="preserve"> </w:t>
      </w:r>
    </w:p>
    <w:p w14:paraId="260E7452" w14:textId="77777777" w:rsidR="00B93E23" w:rsidRDefault="00B93E23" w:rsidP="0080532F">
      <w:pPr>
        <w:widowControl w:val="0"/>
        <w:autoSpaceDE w:val="0"/>
        <w:autoSpaceDN w:val="0"/>
        <w:adjustRightInd w:val="0"/>
        <w:rPr>
          <w:rFonts w:ascii="Cambria" w:hAnsi="Cambria" w:cs="Cambria"/>
        </w:rPr>
      </w:pPr>
    </w:p>
    <w:p w14:paraId="3AAE3F37" w14:textId="3EE41732" w:rsidR="005B0A21" w:rsidRDefault="005B0A21" w:rsidP="005B0A21">
      <w:pPr>
        <w:widowControl w:val="0"/>
        <w:autoSpaceDE w:val="0"/>
        <w:autoSpaceDN w:val="0"/>
        <w:adjustRightInd w:val="0"/>
        <w:rPr>
          <w:rFonts w:ascii="Cambria" w:hAnsi="Cambria" w:cs="Cambria"/>
        </w:rPr>
      </w:pPr>
      <w:r>
        <w:rPr>
          <w:rFonts w:ascii="Cambria" w:hAnsi="Cambria" w:cs="Cambria"/>
          <w:b/>
          <w:bCs/>
        </w:rPr>
        <w:t xml:space="preserve">Paper 2 </w:t>
      </w:r>
      <w:r>
        <w:rPr>
          <w:rFonts w:ascii="Cambria" w:hAnsi="Cambria" w:cs="Cambria"/>
        </w:rPr>
        <w:t>(</w:t>
      </w:r>
      <w:r w:rsidR="005229E6">
        <w:rPr>
          <w:rFonts w:ascii="Cambria" w:hAnsi="Cambria" w:cs="Cambria"/>
        </w:rPr>
        <w:t>Exposition: Other Religions</w:t>
      </w:r>
      <w:r>
        <w:rPr>
          <w:rFonts w:ascii="Cambria" w:hAnsi="Cambria" w:cs="Cambria"/>
        </w:rPr>
        <w:t xml:space="preserve">.  1,000 words.  Final submitted on Moodle </w:t>
      </w:r>
      <w:r w:rsidR="00F17684">
        <w:rPr>
          <w:rFonts w:ascii="Cambria" w:hAnsi="Cambria" w:cs="Cambria"/>
        </w:rPr>
        <w:t>10 minutes before class</w:t>
      </w:r>
      <w:r>
        <w:rPr>
          <w:rFonts w:ascii="Cambria" w:hAnsi="Cambria" w:cs="Cambria"/>
        </w:rPr>
        <w:t xml:space="preserve"> on </w:t>
      </w:r>
      <w:r w:rsidR="00B35160">
        <w:rPr>
          <w:rFonts w:ascii="Cambria" w:hAnsi="Cambria" w:cs="Cambria"/>
        </w:rPr>
        <w:t>Apr. 22</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1C1A6CB9"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and explain it.</w:t>
      </w:r>
      <w:r w:rsidR="00C40853">
        <w:rPr>
          <w:rFonts w:ascii="Cambria" w:hAnsi="Cambria" w:cs="Cambria"/>
        </w:rPr>
        <w:t xml:space="preserve">  Cite at lest two reputable sources.</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27FDD3D4"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(50</w:t>
      </w:r>
      <w:r w:rsidR="008C27DD">
        <w:rPr>
          <w:rFonts w:ascii="Cambria" w:hAnsi="Cambria" w:cs="Cambria"/>
          <w:b/>
          <w:bCs/>
        </w:rPr>
        <w:t xml:space="preserve">%) </w:t>
      </w:r>
      <w:r w:rsidR="00C40853">
        <w:rPr>
          <w:rFonts w:ascii="Cambria" w:hAnsi="Cambria" w:cs="Cambria"/>
          <w:bCs/>
        </w:rPr>
        <w:t>(</w:t>
      </w:r>
      <w:r w:rsidR="00F17684">
        <w:rPr>
          <w:rFonts w:ascii="Cambria" w:hAnsi="Cambria" w:cs="Cambria"/>
          <w:bCs/>
        </w:rPr>
        <w:t>Feb. 4</w:t>
      </w:r>
      <w:r w:rsidR="008C27DD">
        <w:rPr>
          <w:rFonts w:ascii="Cambria" w:hAnsi="Cambria" w:cs="Cambria"/>
          <w:bCs/>
        </w:rPr>
        <w:t xml:space="preserve">, </w:t>
      </w:r>
      <w:r w:rsidR="00F17684">
        <w:rPr>
          <w:rFonts w:ascii="Cambria" w:hAnsi="Cambria" w:cs="Cambria"/>
          <w:bCs/>
        </w:rPr>
        <w:t>Mar. 2</w:t>
      </w:r>
      <w:r w:rsidR="008C27DD">
        <w:rPr>
          <w:rFonts w:ascii="Cambria" w:hAnsi="Cambria" w:cs="Cambria"/>
          <w:bCs/>
        </w:rPr>
        <w:t xml:space="preserve"> and </w:t>
      </w:r>
      <w:r w:rsidR="00F17684">
        <w:rPr>
          <w:rFonts w:ascii="Cambria" w:hAnsi="Cambria" w:cs="Cambria"/>
          <w:bCs/>
        </w:rPr>
        <w:t>Apr. 17</w:t>
      </w:r>
      <w:r w:rsidR="00492551">
        <w:rPr>
          <w:rFonts w:ascii="Cambria" w:hAnsi="Cambria" w:cs="Cambria"/>
          <w:bCs/>
        </w:rPr>
        <w:t>)</w:t>
      </w:r>
      <w:r w:rsidR="008C27DD">
        <w:rPr>
          <w:rFonts w:ascii="Cambria" w:hAnsi="Cambria" w:cs="Cambria"/>
          <w:bCs/>
        </w:rPr>
        <w:t xml:space="preserve">  Each exam will cover the lectures and read</w:t>
      </w:r>
      <w:r w:rsidR="00F17684">
        <w:rPr>
          <w:rFonts w:ascii="Cambria" w:hAnsi="Cambria" w:cs="Cambria"/>
          <w:bCs/>
        </w:rPr>
        <w:t>ing assignments that precede it</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3458B321"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r w:rsidR="00F17684">
        <w:rPr>
          <w:rFonts w:ascii="Cambria" w:hAnsi="Cambria" w:cs="Cambria"/>
          <w:bCs/>
        </w:rPr>
        <w:t>May 4</w:t>
      </w:r>
      <w:r w:rsidR="008C27DD">
        <w:rPr>
          <w:rFonts w:ascii="Cambria" w:hAnsi="Cambria" w:cs="Cambria"/>
          <w:bCs/>
        </w:rPr>
        <w:t xml:space="preserve">).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045145C6" w14:textId="77777777" w:rsidR="001317CA" w:rsidRDefault="001317CA" w:rsidP="0080532F">
      <w:pPr>
        <w:widowControl w:val="0"/>
        <w:autoSpaceDE w:val="0"/>
        <w:autoSpaceDN w:val="0"/>
        <w:adjustRightInd w:val="0"/>
        <w:rPr>
          <w:rFonts w:ascii="Cambria" w:hAnsi="Cambria" w:cs="Cambria"/>
          <w:b/>
          <w:bCs/>
          <w:sz w:val="23"/>
          <w:szCs w:val="23"/>
        </w:rPr>
      </w:pPr>
    </w:p>
    <w:p w14:paraId="222E58BD" w14:textId="7C89F8DB" w:rsidR="008C27DD" w:rsidRPr="00AF5243" w:rsidRDefault="001317CA" w:rsidP="0080532F">
      <w:pPr>
        <w:widowControl w:val="0"/>
        <w:autoSpaceDE w:val="0"/>
        <w:autoSpaceDN w:val="0"/>
        <w:adjustRightInd w:val="0"/>
        <w:rPr>
          <w:rFonts w:ascii="Cambria" w:hAnsi="Cambria" w:cs="Cambria"/>
          <w:bCs/>
          <w:sz w:val="23"/>
          <w:szCs w:val="23"/>
        </w:rPr>
      </w:pPr>
      <w:r w:rsidRPr="00AF5243">
        <w:rPr>
          <w:rFonts w:ascii="Cambria" w:hAnsi="Cambria" w:cs="Cambria"/>
          <w:bCs/>
          <w:sz w:val="23"/>
          <w:szCs w:val="23"/>
        </w:rPr>
        <w:t>6)</w:t>
      </w:r>
      <w:r>
        <w:rPr>
          <w:rFonts w:ascii="Cambria" w:hAnsi="Cambria" w:cs="Cambria"/>
          <w:b/>
          <w:bCs/>
          <w:sz w:val="23"/>
          <w:szCs w:val="23"/>
        </w:rPr>
        <w:t xml:space="preserve"> </w:t>
      </w:r>
      <w:r w:rsidR="00AF5243">
        <w:rPr>
          <w:rFonts w:ascii="Cambria" w:hAnsi="Cambria" w:cs="Cambria"/>
          <w:b/>
          <w:bCs/>
          <w:sz w:val="23"/>
          <w:szCs w:val="23"/>
        </w:rPr>
        <w:t xml:space="preserve">SI Review Sessions (EXTRA CREDIT!): </w:t>
      </w:r>
      <w:r w:rsidR="00AF5243">
        <w:rPr>
          <w:rFonts w:ascii="Cambria" w:hAnsi="Cambria" w:cs="Cambria"/>
          <w:bCs/>
          <w:sz w:val="23"/>
          <w:szCs w:val="23"/>
        </w:rPr>
        <w:t>If you attend every review session leading up to an exam, you will receive 3 points extra credit on that exam.</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71E175C4" w14:textId="77777777" w:rsidR="00F17684" w:rsidRDefault="00F17684"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3905646"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w:t>
      </w:r>
      <w:r w:rsidR="007A7297">
        <w:rPr>
          <w:rFonts w:ascii="Cambria" w:hAnsi="Cambria" w:cs="Cambria"/>
        </w:rPr>
        <w:t xml:space="preserve">excused </w:t>
      </w:r>
      <w:r w:rsidR="00D334D7">
        <w:rPr>
          <w:rFonts w:ascii="Cambria" w:hAnsi="Cambria" w:cs="Cambria"/>
        </w:rPr>
        <w:t>absence</w:t>
      </w:r>
      <w:r w:rsidR="007A7297">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w:t>
      </w:r>
      <w:r w:rsidRPr="007A7297">
        <w:rPr>
          <w:rFonts w:ascii="Cambria" w:hAnsi="Cambria" w:cs="Cambria"/>
          <w:b/>
        </w:rPr>
        <w:t>not</w:t>
      </w:r>
      <w:r>
        <w:rPr>
          <w:rFonts w:ascii="Cambria" w:hAnsi="Cambria" w:cs="Cambria"/>
        </w:rPr>
        <w:t xml:space="preserve">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sidR="007A7297">
        <w:rPr>
          <w:rFonts w:ascii="Cambria" w:hAnsi="Cambria" w:cs="Cambria"/>
          <w:b/>
          <w:bCs/>
        </w:rPr>
        <w:t>If you do not email me before or soon after your absence, I will assume that it is unexcused</w:t>
      </w:r>
      <w:r w:rsidR="007A7297">
        <w:rPr>
          <w:rFonts w:ascii="Cambria" w:hAnsi="Cambria" w:cs="Cambria"/>
        </w:rPr>
        <w:t xml:space="preserve">.  </w:t>
      </w:r>
      <w:r>
        <w:rPr>
          <w:rFonts w:ascii="Cambria" w:hAnsi="Cambria" w:cs="Cambria"/>
        </w:rPr>
        <w:t>Unexcused absences will reduce your course average by 2 points for each such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443E4E69"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w:t>
      </w:r>
      <w:r w:rsidR="00697D44">
        <w:rPr>
          <w:rFonts w:ascii="Cambria" w:hAnsi="Cambria" w:cs="Cambria"/>
          <w:b/>
          <w:bCs/>
        </w:rPr>
        <w:t xml:space="preserve">normally </w:t>
      </w:r>
      <w:r w:rsidR="007A7297">
        <w:rPr>
          <w:rFonts w:ascii="Cambria" w:hAnsi="Cambria" w:cs="Cambria"/>
          <w:b/>
          <w:bCs/>
        </w:rPr>
        <w:t xml:space="preserve">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68F6CE4A" w14:textId="77777777" w:rsidR="00F17684" w:rsidRDefault="00F17684" w:rsidP="00AF5243">
      <w:pPr>
        <w:widowControl w:val="0"/>
        <w:autoSpaceDE w:val="0"/>
        <w:autoSpaceDN w:val="0"/>
        <w:adjustRightInd w:val="0"/>
        <w:rPr>
          <w:rFonts w:ascii="Cambria" w:hAnsi="Cambria" w:cs="Cambria"/>
          <w:b/>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77AD56AE" w14:textId="77777777" w:rsidR="00F17684" w:rsidRPr="008A3611" w:rsidRDefault="00F17684" w:rsidP="00F17684">
      <w:pPr>
        <w:pStyle w:val="Body"/>
        <w:spacing w:after="0"/>
        <w:rPr>
          <w:rFonts w:asciiTheme="minorHAnsi" w:hAnsiTheme="minorHAnsi"/>
        </w:rPr>
      </w:pPr>
      <w:r>
        <w:rPr>
          <w:rFonts w:asciiTheme="minorHAnsi" w:hAnsiTheme="minorHAnsi"/>
        </w:rPr>
        <w:t xml:space="preserve">I would much rather meet with you in person than correspond via email.  However, </w:t>
      </w:r>
      <w:r w:rsidRPr="008A3611">
        <w:rPr>
          <w:rFonts w:asciiTheme="minorHAnsi" w:hAnsiTheme="minorHAnsi"/>
        </w:rPr>
        <w:t xml:space="preserve">I will make every effort to be available to </w:t>
      </w:r>
      <w:r>
        <w:rPr>
          <w:rFonts w:asciiTheme="minorHAnsi" w:hAnsiTheme="minorHAnsi"/>
        </w:rPr>
        <w:t>by email</w:t>
      </w:r>
      <w:r w:rsidRPr="008A3611">
        <w:rPr>
          <w:rFonts w:asciiTheme="minorHAnsi" w:hAnsiTheme="minorHAnsi"/>
        </w:rPr>
        <w:t xml:space="preserve"> </w:t>
      </w:r>
      <w:r w:rsidRPr="008A3611">
        <w:rPr>
          <w:rFonts w:asciiTheme="minorHAnsi" w:hAnsiTheme="minorHAnsi"/>
          <w:u w:val="single"/>
        </w:rPr>
        <w:t>during the workday</w:t>
      </w:r>
      <w:r w:rsidRPr="008A3611">
        <w:rPr>
          <w:rFonts w:asciiTheme="minorHAnsi" w:hAnsiTheme="minorHAnsi"/>
        </w:rPr>
        <w:t>.  If you send an email after 4:00pm, you should not expect a response until the next working day.  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query requires an answer of more than a few sentences, you should come by my office.  </w:t>
      </w:r>
    </w:p>
    <w:p w14:paraId="4C4A92C3" w14:textId="71AC3D01" w:rsidR="00690469" w:rsidRDefault="00690469" w:rsidP="00AF5243">
      <w:pPr>
        <w:widowControl w:val="0"/>
        <w:autoSpaceDE w:val="0"/>
        <w:autoSpaceDN w:val="0"/>
        <w:adjustRightInd w:val="0"/>
        <w:rPr>
          <w:rFonts w:ascii="Cambria" w:hAnsi="Cambria" w:cs="Cambria"/>
          <w:b/>
          <w:bCs/>
        </w:rPr>
      </w:pPr>
      <w:r>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F17684" w:rsidRDefault="00F17684" w:rsidP="007023DD">
      <w:r>
        <w:separator/>
      </w:r>
    </w:p>
  </w:endnote>
  <w:endnote w:type="continuationSeparator" w:id="0">
    <w:p w14:paraId="6CAB6884" w14:textId="77777777" w:rsidR="00F17684" w:rsidRDefault="00F17684"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F17684" w:rsidRDefault="00F17684" w:rsidP="007023DD">
      <w:r>
        <w:separator/>
      </w:r>
    </w:p>
  </w:footnote>
  <w:footnote w:type="continuationSeparator" w:id="0">
    <w:p w14:paraId="17A1FC07" w14:textId="77777777" w:rsidR="00F17684" w:rsidRDefault="00F17684"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F17684" w:rsidRDefault="00F17684"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F17684" w:rsidRDefault="00F17684"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F17684" w:rsidRDefault="00F17684"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283">
      <w:rPr>
        <w:rStyle w:val="PageNumber"/>
        <w:noProof/>
      </w:rPr>
      <w:t>9</w:t>
    </w:r>
    <w:r>
      <w:rPr>
        <w:rStyle w:val="PageNumber"/>
      </w:rPr>
      <w:fldChar w:fldCharType="end"/>
    </w:r>
  </w:p>
  <w:p w14:paraId="6E954CBD" w14:textId="77777777" w:rsidR="00F17684" w:rsidRDefault="00F17684"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45ABD"/>
    <w:rsid w:val="00364ECA"/>
    <w:rsid w:val="003764E4"/>
    <w:rsid w:val="003868F2"/>
    <w:rsid w:val="00392A5E"/>
    <w:rsid w:val="003977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97D4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2913"/>
    <w:rsid w:val="00914DB0"/>
    <w:rsid w:val="0097116C"/>
    <w:rsid w:val="009808B0"/>
    <w:rsid w:val="00986A59"/>
    <w:rsid w:val="00994C38"/>
    <w:rsid w:val="009964AE"/>
    <w:rsid w:val="009E55CE"/>
    <w:rsid w:val="009E5AF0"/>
    <w:rsid w:val="00A00D1D"/>
    <w:rsid w:val="00A16466"/>
    <w:rsid w:val="00A57DA7"/>
    <w:rsid w:val="00A67BC6"/>
    <w:rsid w:val="00AE194F"/>
    <w:rsid w:val="00AF0FAF"/>
    <w:rsid w:val="00AF2027"/>
    <w:rsid w:val="00AF5243"/>
    <w:rsid w:val="00AF632D"/>
    <w:rsid w:val="00AF66B9"/>
    <w:rsid w:val="00B26806"/>
    <w:rsid w:val="00B35160"/>
    <w:rsid w:val="00B4406A"/>
    <w:rsid w:val="00B45784"/>
    <w:rsid w:val="00B82CDF"/>
    <w:rsid w:val="00B93E23"/>
    <w:rsid w:val="00BC1AAA"/>
    <w:rsid w:val="00BF4F4D"/>
    <w:rsid w:val="00C04DD0"/>
    <w:rsid w:val="00C21CF8"/>
    <w:rsid w:val="00C27B54"/>
    <w:rsid w:val="00C35D54"/>
    <w:rsid w:val="00C40853"/>
    <w:rsid w:val="00C45E55"/>
    <w:rsid w:val="00C61537"/>
    <w:rsid w:val="00C6389D"/>
    <w:rsid w:val="00C64C57"/>
    <w:rsid w:val="00CB3945"/>
    <w:rsid w:val="00CE78F9"/>
    <w:rsid w:val="00D20E9A"/>
    <w:rsid w:val="00D334D7"/>
    <w:rsid w:val="00D502C9"/>
    <w:rsid w:val="00D504AC"/>
    <w:rsid w:val="00D53636"/>
    <w:rsid w:val="00D61213"/>
    <w:rsid w:val="00D96419"/>
    <w:rsid w:val="00DC1A48"/>
    <w:rsid w:val="00DE2E1F"/>
    <w:rsid w:val="00E009A6"/>
    <w:rsid w:val="00E23F7F"/>
    <w:rsid w:val="00E44283"/>
    <w:rsid w:val="00E50C25"/>
    <w:rsid w:val="00E55602"/>
    <w:rsid w:val="00E62D5C"/>
    <w:rsid w:val="00EC247C"/>
    <w:rsid w:val="00F01C3E"/>
    <w:rsid w:val="00F06642"/>
    <w:rsid w:val="00F17684"/>
    <w:rsid w:val="00F3343F"/>
    <w:rsid w:val="00F4519A"/>
    <w:rsid w:val="00F62AE0"/>
    <w:rsid w:val="00F65B54"/>
    <w:rsid w:val="00F72AF0"/>
    <w:rsid w:val="00F82A5F"/>
    <w:rsid w:val="00F94480"/>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2635</Words>
  <Characters>15023</Characters>
  <Application>Microsoft Macintosh Word</Application>
  <DocSecurity>0</DocSecurity>
  <Lines>125</Lines>
  <Paragraphs>35</Paragraphs>
  <ScaleCrop>false</ScaleCrop>
  <Company>University of Virginia</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2015-01-14T15:21:00Z</cp:lastPrinted>
  <dcterms:created xsi:type="dcterms:W3CDTF">2015-01-14T14:58:00Z</dcterms:created>
  <dcterms:modified xsi:type="dcterms:W3CDTF">2015-01-14T23:17:00Z</dcterms:modified>
</cp:coreProperties>
</file>