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A99A" w14:textId="56488050" w:rsidR="00954503" w:rsidRDefault="00954503" w:rsidP="006D0000">
      <w:pPr>
        <w:spacing w:before="240"/>
        <w:jc w:val="center"/>
        <w:rPr>
          <w:b/>
        </w:rPr>
      </w:pPr>
      <w:r w:rsidRPr="004D0832">
        <w:rPr>
          <w:b/>
        </w:rPr>
        <w:t>A Tree with Many Branches</w:t>
      </w:r>
      <w:r>
        <w:rPr>
          <w:b/>
        </w:rPr>
        <w:t>: Abrahamic Approaches to Inter</w:t>
      </w:r>
      <w:r w:rsidRPr="004D0832">
        <w:rPr>
          <w:b/>
        </w:rPr>
        <w:t>religious Dialogue</w:t>
      </w:r>
    </w:p>
    <w:p w14:paraId="366F54BB" w14:textId="77777777" w:rsidR="006D0000" w:rsidRDefault="006D0000" w:rsidP="00954503">
      <w:pPr>
        <w:spacing w:before="240"/>
        <w:jc w:val="center"/>
      </w:pPr>
    </w:p>
    <w:p w14:paraId="1F73C45E" w14:textId="3741117C" w:rsidR="006D0000" w:rsidRDefault="006D0000" w:rsidP="00954503">
      <w:pPr>
        <w:spacing w:before="240"/>
        <w:jc w:val="center"/>
      </w:pPr>
      <w:r w:rsidRPr="006D0000">
        <w:t>Adam Y. Wells</w:t>
      </w:r>
    </w:p>
    <w:p w14:paraId="68125157" w14:textId="77777777" w:rsidR="006D0000" w:rsidRDefault="006D0000" w:rsidP="00954503">
      <w:pPr>
        <w:spacing w:before="240"/>
        <w:jc w:val="center"/>
      </w:pPr>
    </w:p>
    <w:p w14:paraId="21C7546B" w14:textId="77777777" w:rsidR="006D0000" w:rsidRDefault="006D0000" w:rsidP="00954503">
      <w:pPr>
        <w:spacing w:before="240"/>
        <w:jc w:val="center"/>
      </w:pPr>
    </w:p>
    <w:p w14:paraId="7045DAA5" w14:textId="5825CDFB" w:rsidR="006D0000" w:rsidRDefault="006D0000" w:rsidP="006D0000">
      <w:r w:rsidRPr="006D0000">
        <w:rPr>
          <w:b/>
        </w:rPr>
        <w:t>Abstract</w:t>
      </w:r>
      <w:r>
        <w:t xml:space="preserve">: </w:t>
      </w:r>
      <w:r w:rsidRPr="006D0000">
        <w:t>While dialog</w:t>
      </w:r>
      <w:r w:rsidR="00AD6F0E">
        <w:t>ue</w:t>
      </w:r>
      <w:r w:rsidRPr="006D0000">
        <w:t xml:space="preserve"> is critically necessary in the modern world, it raises a host of epistemological</w:t>
      </w:r>
      <w:r w:rsidR="00AD6F0E">
        <w:t>, theological,</w:t>
      </w:r>
      <w:r w:rsidRPr="006D0000">
        <w:t xml:space="preserve"> and metaphysical problems.  If a religious practi</w:t>
      </w:r>
      <w:r w:rsidR="00387302">
        <w:t>ti</w:t>
      </w:r>
      <w:r w:rsidRPr="006D0000">
        <w:t>oner regards her tradition as absolutely true, must she then regard other traditions as false or derivat</w:t>
      </w:r>
      <w:r>
        <w:t xml:space="preserve">ive, either wholly or in part?  </w:t>
      </w:r>
      <w:r w:rsidR="00AD6F0E">
        <w:t xml:space="preserve">Is genuine dialogue actually possible, or is it just a show of conciliation and unity against a backdrop of irreconcilable differences?  </w:t>
      </w:r>
      <w:r>
        <w:t>The first section of this essay surveys four modern models of interreligious dialogue: exclusivism, inclusivism, pluralism, and particularism.  None of them will prove satisfactory.  The second section</w:t>
      </w:r>
      <w:r w:rsidRPr="00772734">
        <w:t xml:space="preserve"> </w:t>
      </w:r>
      <w:r>
        <w:t>sketches out</w:t>
      </w:r>
      <w:r w:rsidRPr="00772734">
        <w:t xml:space="preserve"> an interreligious approach to truth </w:t>
      </w:r>
      <w:r>
        <w:t>by spinning together three conceptual threads:</w:t>
      </w:r>
      <w:r w:rsidRPr="00F30C71">
        <w:t xml:space="preserve"> </w:t>
      </w:r>
      <w:r>
        <w:t xml:space="preserve">truth </w:t>
      </w:r>
      <w:r w:rsidRPr="00F30C71">
        <w:t>(</w:t>
      </w:r>
      <w:proofErr w:type="spellStart"/>
      <w:r w:rsidRPr="00D9343F">
        <w:t>ἀλήθει</w:t>
      </w:r>
      <w:proofErr w:type="spellEnd"/>
      <w:r w:rsidRPr="00D9343F">
        <w:t>α</w:t>
      </w:r>
      <w:r w:rsidRPr="00F30C71">
        <w:t xml:space="preserve">) in the Gospel of John, love in </w:t>
      </w:r>
      <w:proofErr w:type="spellStart"/>
      <w:r w:rsidRPr="00F30C71">
        <w:t>Hasdai</w:t>
      </w:r>
      <w:proofErr w:type="spellEnd"/>
      <w:r w:rsidRPr="00F30C71">
        <w:t xml:space="preserve"> </w:t>
      </w:r>
      <w:proofErr w:type="spellStart"/>
      <w:r w:rsidRPr="00F30C71">
        <w:t>Crescas’s</w:t>
      </w:r>
      <w:proofErr w:type="spellEnd"/>
      <w:r w:rsidRPr="00F30C71">
        <w:t xml:space="preserve"> </w:t>
      </w:r>
      <w:r w:rsidRPr="00F30C71">
        <w:rPr>
          <w:i/>
        </w:rPr>
        <w:t xml:space="preserve">Or </w:t>
      </w:r>
      <w:proofErr w:type="spellStart"/>
      <w:r w:rsidRPr="00F30C71">
        <w:rPr>
          <w:i/>
        </w:rPr>
        <w:t>Adonai</w:t>
      </w:r>
      <w:proofErr w:type="spellEnd"/>
      <w:r w:rsidRPr="00F30C71">
        <w:t xml:space="preserve">, and imagination in the work of </w:t>
      </w:r>
      <w:proofErr w:type="spellStart"/>
      <w:r>
        <w:rPr>
          <w:rFonts w:eastAsia="Times New Roman" w:cs="Times New Roman"/>
        </w:rPr>
        <w:t>Muhyi</w:t>
      </w:r>
      <w:proofErr w:type="spellEnd"/>
      <w:r>
        <w:rPr>
          <w:rFonts w:eastAsia="Times New Roman" w:cs="Times New Roman"/>
        </w:rPr>
        <w:t xml:space="preserve"> al-Din </w:t>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w:t>
      </w:r>
      <w:proofErr w:type="spellEnd"/>
      <w:r>
        <w:t>.  It will be argued that interreligious truth is not a matter of resolving contradictory truth claims; rather, it is a hermeneutical process involving imaginative encounters across traditions.</w:t>
      </w:r>
    </w:p>
    <w:p w14:paraId="1BE961B6" w14:textId="77777777" w:rsidR="006D0000" w:rsidRDefault="006D0000" w:rsidP="006D0000"/>
    <w:p w14:paraId="63563E02" w14:textId="01982C62" w:rsidR="006D0000" w:rsidRPr="006D0000" w:rsidRDefault="006D0000" w:rsidP="006D0000">
      <w:r>
        <w:rPr>
          <w:b/>
        </w:rPr>
        <w:t xml:space="preserve">Author: </w:t>
      </w:r>
      <w:r>
        <w:t>Adam Y. Wells is an Assistant Professor of Religion at Emory &amp; Henry College.</w:t>
      </w:r>
    </w:p>
    <w:p w14:paraId="76FE503B" w14:textId="3DF80E35" w:rsidR="006D0000" w:rsidRPr="006D0000" w:rsidRDefault="006D0000" w:rsidP="006D0000">
      <w:pPr>
        <w:spacing w:before="240"/>
        <w:sectPr w:rsidR="006D0000" w:rsidRPr="006D0000" w:rsidSect="00954503">
          <w:footerReference w:type="even" r:id="rId8"/>
          <w:footerReference w:type="default" r:id="rId9"/>
          <w:pgSz w:w="12240" w:h="15840"/>
          <w:pgMar w:top="1440" w:right="1800" w:bottom="1440" w:left="1800" w:header="720" w:footer="720" w:gutter="0"/>
          <w:cols w:space="720"/>
          <w:titlePg/>
          <w:docGrid w:linePitch="360"/>
        </w:sectPr>
      </w:pPr>
    </w:p>
    <w:p w14:paraId="4EE77B86" w14:textId="2F52FFD0" w:rsidR="00DE6FC3" w:rsidRDefault="004D0832" w:rsidP="00954503">
      <w:pPr>
        <w:spacing w:before="240"/>
        <w:jc w:val="center"/>
        <w:rPr>
          <w:b/>
        </w:rPr>
      </w:pPr>
      <w:r w:rsidRPr="004D0832">
        <w:rPr>
          <w:b/>
        </w:rPr>
        <w:lastRenderedPageBreak/>
        <w:t>A Tree with Many Branches</w:t>
      </w:r>
      <w:r w:rsidR="007A5A45">
        <w:rPr>
          <w:b/>
        </w:rPr>
        <w:t>: Abrahamic Approaches to Inter</w:t>
      </w:r>
      <w:r w:rsidRPr="004D0832">
        <w:rPr>
          <w:b/>
        </w:rPr>
        <w:t>religious Dialogue</w:t>
      </w:r>
    </w:p>
    <w:p w14:paraId="1212C079" w14:textId="77777777" w:rsidR="0061736E" w:rsidRPr="0061736E" w:rsidRDefault="0061736E" w:rsidP="00954503">
      <w:pPr>
        <w:spacing w:before="240"/>
        <w:jc w:val="center"/>
        <w:rPr>
          <w:b/>
        </w:rPr>
      </w:pPr>
    </w:p>
    <w:p w14:paraId="2DD77439" w14:textId="61AAE80B" w:rsidR="000F45EB" w:rsidRDefault="002C4FB4" w:rsidP="00954503">
      <w:pPr>
        <w:spacing w:before="240"/>
        <w:ind w:firstLine="720"/>
      </w:pPr>
      <w:r>
        <w:t>At Emory &amp; Henry</w:t>
      </w:r>
      <w:r w:rsidR="00F95CD5">
        <w:t xml:space="preserve"> College</w:t>
      </w:r>
      <w:r w:rsidR="00797924">
        <w:t>, I teach</w:t>
      </w:r>
      <w:r>
        <w:t xml:space="preserve"> World Religions every semester and </w:t>
      </w:r>
      <w:r w:rsidR="006D68B5">
        <w:t>Comparative T</w:t>
      </w:r>
      <w:r w:rsidR="000D469D">
        <w:t>heology every other year</w:t>
      </w:r>
      <w:r>
        <w:t xml:space="preserve">. </w:t>
      </w:r>
      <w:r w:rsidR="002A7505">
        <w:t xml:space="preserve"> </w:t>
      </w:r>
      <w:r w:rsidR="00C34FB8">
        <w:t xml:space="preserve">I </w:t>
      </w:r>
      <w:r w:rsidR="002A7505">
        <w:t xml:space="preserve">hope that the popularity of those courses </w:t>
      </w:r>
      <w:r w:rsidR="00221BB4">
        <w:t>has something to do with me,</w:t>
      </w:r>
      <w:r w:rsidR="00C34FB8">
        <w:t xml:space="preserve"> but</w:t>
      </w:r>
      <w:r w:rsidR="00221BB4">
        <w:t xml:space="preserve"> </w:t>
      </w:r>
      <w:r w:rsidR="00FA2143">
        <w:t xml:space="preserve">I </w:t>
      </w:r>
      <w:r w:rsidR="00C34FB8">
        <w:t xml:space="preserve">am also </w:t>
      </w:r>
      <w:r w:rsidR="00045A81">
        <w:t>sure</w:t>
      </w:r>
      <w:r w:rsidR="00C34FB8">
        <w:t xml:space="preserve"> that </w:t>
      </w:r>
      <w:r w:rsidR="002A7505">
        <w:t>it</w:t>
      </w:r>
      <w:r w:rsidR="00387302">
        <w:t xml:space="preserve"> has to do with</w:t>
      </w:r>
      <w:r w:rsidR="00045A81">
        <w:t xml:space="preserve"> my students’ desire </w:t>
      </w:r>
      <w:r>
        <w:t xml:space="preserve">to make the world better; they see </w:t>
      </w:r>
      <w:r w:rsidR="00D0327B">
        <w:t>rips</w:t>
      </w:r>
      <w:r w:rsidR="005B096D">
        <w:t xml:space="preserve"> in </w:t>
      </w:r>
      <w:r w:rsidR="00572971">
        <w:t>the</w:t>
      </w:r>
      <w:r w:rsidR="005B096D">
        <w:t xml:space="preserve"> fabric</w:t>
      </w:r>
      <w:r w:rsidR="005B41E4">
        <w:t xml:space="preserve"> </w:t>
      </w:r>
      <w:r w:rsidR="00572971">
        <w:t xml:space="preserve">of humanity </w:t>
      </w:r>
      <w:r>
        <w:t>and they want to repair them.</w:t>
      </w:r>
      <w:r w:rsidR="005B41E4">
        <w:t xml:space="preserve">  Growing up after 9/11, they tend to </w:t>
      </w:r>
      <w:r w:rsidR="008C1550">
        <w:t>regard</w:t>
      </w:r>
      <w:r w:rsidR="005B41E4">
        <w:t xml:space="preserve"> religion both as a source of </w:t>
      </w:r>
      <w:r w:rsidR="00F30C71">
        <w:t>social justice</w:t>
      </w:r>
      <w:r w:rsidR="005B41E4">
        <w:t xml:space="preserve"> and as a source of tremendous </w:t>
      </w:r>
      <w:r w:rsidR="008C1550">
        <w:t>dehumanization</w:t>
      </w:r>
      <w:r w:rsidR="00DE4BDF">
        <w:t xml:space="preserve"> and conflict</w:t>
      </w:r>
      <w:r w:rsidR="00DA1C23">
        <w:t xml:space="preserve">.  </w:t>
      </w:r>
      <w:r w:rsidR="00DE4BDF">
        <w:t>So i</w:t>
      </w:r>
      <w:r w:rsidR="006D68B5">
        <w:t>nter</w:t>
      </w:r>
      <w:r w:rsidR="00FD263C">
        <w:t>religious dialogue has become something of a moral imperative</w:t>
      </w:r>
      <w:r w:rsidR="009604A8">
        <w:t xml:space="preserve"> for them</w:t>
      </w:r>
      <w:r w:rsidR="005B41E4">
        <w:t xml:space="preserve">. </w:t>
      </w:r>
    </w:p>
    <w:p w14:paraId="7232E440" w14:textId="7665D9A4" w:rsidR="0005729E" w:rsidRDefault="00D97986" w:rsidP="00954503">
      <w:r>
        <w:tab/>
      </w:r>
      <w:r w:rsidR="00C34FB8">
        <w:t>W</w:t>
      </w:r>
      <w:r>
        <w:t xml:space="preserve">hile </w:t>
      </w:r>
      <w:r w:rsidR="00C34FB8">
        <w:t>my students</w:t>
      </w:r>
      <w:r w:rsidR="00DA1C23">
        <w:t xml:space="preserve"> are</w:t>
      </w:r>
      <w:r w:rsidR="00163831">
        <w:t xml:space="preserve"> </w:t>
      </w:r>
      <w:r>
        <w:t xml:space="preserve">keenly aware of the need for dialogue, </w:t>
      </w:r>
      <w:r w:rsidR="00C34FB8">
        <w:t>they</w:t>
      </w:r>
      <w:r>
        <w:t xml:space="preserve"> are less sure of how to have an interreligious dialogue</w:t>
      </w:r>
      <w:r w:rsidR="001D5BD7">
        <w:t>,</w:t>
      </w:r>
      <w:r>
        <w:t xml:space="preserve"> precisely because dialogue </w:t>
      </w:r>
      <w:r w:rsidR="001D5BD7">
        <w:t xml:space="preserve">involves </w:t>
      </w:r>
      <w:r>
        <w:t xml:space="preserve">very thorny epistemological, ontological, and metaphysical issues.  In </w:t>
      </w:r>
      <w:r w:rsidR="001D5BD7">
        <w:t>nearly all</w:t>
      </w:r>
      <w:r>
        <w:t xml:space="preserve"> of my classes, some of the following question</w:t>
      </w:r>
      <w:r w:rsidR="00F67CF2">
        <w:t>s</w:t>
      </w:r>
      <w:r>
        <w:t xml:space="preserve"> </w:t>
      </w:r>
      <w:r w:rsidR="00FD263C">
        <w:t>come</w:t>
      </w:r>
      <w:r w:rsidR="00CD5F2D">
        <w:t xml:space="preserve"> up: H</w:t>
      </w:r>
      <w:r>
        <w:t xml:space="preserve">ow do we make sense of religions that make competing truth claims?  </w:t>
      </w:r>
      <w:r w:rsidRPr="00D97986">
        <w:t>If a religious practi</w:t>
      </w:r>
      <w:r>
        <w:t>ti</w:t>
      </w:r>
      <w:r w:rsidRPr="00D97986">
        <w:t>oner regards her tradition as absolutely true, must she then regard other traditions as false or derivative, either wholly or in part?</w:t>
      </w:r>
      <w:r w:rsidR="00F67CF2">
        <w:t xml:space="preserve"> </w:t>
      </w:r>
      <w:r w:rsidR="00DA1C23">
        <w:t xml:space="preserve"> </w:t>
      </w:r>
      <w:r w:rsidR="001D5BD7">
        <w:t>I</w:t>
      </w:r>
      <w:r w:rsidR="00F67CF2">
        <w:t xml:space="preserve">s </w:t>
      </w:r>
      <w:r w:rsidR="001D5BD7">
        <w:t xml:space="preserve">genuine </w:t>
      </w:r>
      <w:r w:rsidR="00F67CF2">
        <w:t>dialogue actually possible</w:t>
      </w:r>
      <w:r w:rsidR="001D5BD7">
        <w:t>, or is it just a show of conciliation</w:t>
      </w:r>
      <w:r w:rsidR="00163831">
        <w:t xml:space="preserve"> and unity against a backdrop of irreconcilable differences</w:t>
      </w:r>
      <w:r w:rsidR="00F67CF2">
        <w:t xml:space="preserve">?  These sorts of questions </w:t>
      </w:r>
      <w:r w:rsidR="00163831">
        <w:t>point to the central epistemological issue in interreligious dialogue</w:t>
      </w:r>
      <w:r w:rsidR="00194D0A">
        <w:t xml:space="preserve">: </w:t>
      </w:r>
      <w:r w:rsidR="00F67CF2">
        <w:t xml:space="preserve">namely, </w:t>
      </w:r>
      <w:r w:rsidR="006D68B5">
        <w:t>authentic dialogue</w:t>
      </w:r>
      <w:r w:rsidR="00F67CF2">
        <w:t xml:space="preserve"> requir</w:t>
      </w:r>
      <w:r w:rsidR="00F30C71">
        <w:t xml:space="preserve">es that we remain </w:t>
      </w:r>
      <w:r w:rsidR="00F67CF2">
        <w:t xml:space="preserve">committed to the truth of our own tradition while being genuinely open to </w:t>
      </w:r>
      <w:r w:rsidR="00D90AA6">
        <w:t>the truths of other traditions.</w:t>
      </w:r>
      <w:r w:rsidR="008A6D34">
        <w:t xml:space="preserve">  That possibility </w:t>
      </w:r>
      <w:r w:rsidR="00F30C71">
        <w:t>is</w:t>
      </w:r>
      <w:r w:rsidR="008A6D34">
        <w:t xml:space="preserve"> the subject of </w:t>
      </w:r>
      <w:r w:rsidR="00F30C71">
        <w:t>this essay</w:t>
      </w:r>
      <w:r w:rsidR="008A6D34">
        <w:t>.</w:t>
      </w:r>
      <w:r w:rsidR="00D90AA6">
        <w:t xml:space="preserve"> </w:t>
      </w:r>
      <w:r w:rsidR="008A6D34">
        <w:t xml:space="preserve"> </w:t>
      </w:r>
      <w:r w:rsidR="00B21452" w:rsidRPr="00772734">
        <w:t>In t</w:t>
      </w:r>
      <w:r w:rsidR="008A6D34">
        <w:t>he first section</w:t>
      </w:r>
      <w:r w:rsidR="00B21452" w:rsidRPr="00772734">
        <w:t>, I</w:t>
      </w:r>
      <w:r w:rsidR="00016A39" w:rsidRPr="00772734">
        <w:t xml:space="preserve"> will summarize four modern approaches to</w:t>
      </w:r>
      <w:r w:rsidR="000D1F0F" w:rsidRPr="00772734">
        <w:t xml:space="preserve"> religious difference—</w:t>
      </w:r>
      <w:r w:rsidR="00016A39" w:rsidRPr="00772734">
        <w:t>exclusivism, inclusivism, pluralism, and particularism.</w:t>
      </w:r>
      <w:r w:rsidR="001A718C" w:rsidRPr="00772734">
        <w:rPr>
          <w:rStyle w:val="FootnoteReference"/>
        </w:rPr>
        <w:footnoteReference w:id="1"/>
      </w:r>
      <w:r w:rsidR="00016A39" w:rsidRPr="00772734">
        <w:t xml:space="preserve"> </w:t>
      </w:r>
      <w:r w:rsidR="00797E98">
        <w:t xml:space="preserve"> N</w:t>
      </w:r>
      <w:r w:rsidR="00016A39" w:rsidRPr="00772734">
        <w:t xml:space="preserve">one of them </w:t>
      </w:r>
      <w:r w:rsidR="00797E98">
        <w:t>will prove to be</w:t>
      </w:r>
      <w:r w:rsidR="00016A39" w:rsidRPr="00772734">
        <w:t xml:space="preserve"> satisfactory.  In the second section, I will </w:t>
      </w:r>
      <w:r w:rsidR="00D9343F">
        <w:t>sketch out</w:t>
      </w:r>
      <w:r w:rsidR="00D90AA6" w:rsidRPr="00772734">
        <w:t xml:space="preserve"> an</w:t>
      </w:r>
      <w:r w:rsidR="00016A39" w:rsidRPr="00772734">
        <w:t xml:space="preserve"> </w:t>
      </w:r>
      <w:r w:rsidR="00D90AA6" w:rsidRPr="00772734">
        <w:t xml:space="preserve">interreligious </w:t>
      </w:r>
      <w:r w:rsidR="00016A39" w:rsidRPr="00772734">
        <w:t xml:space="preserve">approach to </w:t>
      </w:r>
      <w:r w:rsidR="00D90AA6" w:rsidRPr="00772734">
        <w:t>truth</w:t>
      </w:r>
      <w:r w:rsidR="00797CF5" w:rsidRPr="00772734">
        <w:t xml:space="preserve"> </w:t>
      </w:r>
      <w:r w:rsidR="00D9343F">
        <w:t>by spinning together three conceptual threads:</w:t>
      </w:r>
      <w:r w:rsidR="00016A39" w:rsidRPr="00F30C71">
        <w:t xml:space="preserve"> </w:t>
      </w:r>
      <w:r w:rsidR="00D9343F">
        <w:t xml:space="preserve">truth </w:t>
      </w:r>
      <w:r w:rsidR="00016A39" w:rsidRPr="00F30C71">
        <w:t>(</w:t>
      </w:r>
      <w:proofErr w:type="spellStart"/>
      <w:r w:rsidR="00D9343F" w:rsidRPr="00D9343F">
        <w:t>ἀλήθει</w:t>
      </w:r>
      <w:proofErr w:type="spellEnd"/>
      <w:r w:rsidR="00D9343F" w:rsidRPr="00D9343F">
        <w:t>α</w:t>
      </w:r>
      <w:r w:rsidR="00016A39" w:rsidRPr="00F30C71">
        <w:t>)</w:t>
      </w:r>
      <w:r w:rsidR="00D90AA6" w:rsidRPr="00F30C71">
        <w:t xml:space="preserve"> in the Gospel of John</w:t>
      </w:r>
      <w:r w:rsidR="00016A39" w:rsidRPr="00F30C71">
        <w:t xml:space="preserve">, </w:t>
      </w:r>
      <w:r w:rsidR="00D90AA6" w:rsidRPr="00F30C71">
        <w:t xml:space="preserve">love in </w:t>
      </w:r>
      <w:proofErr w:type="spellStart"/>
      <w:r w:rsidR="00016A39" w:rsidRPr="00F30C71">
        <w:t>Hasdai</w:t>
      </w:r>
      <w:proofErr w:type="spellEnd"/>
      <w:r w:rsidR="00016A39" w:rsidRPr="00F30C71">
        <w:t xml:space="preserve"> </w:t>
      </w:r>
      <w:proofErr w:type="spellStart"/>
      <w:r w:rsidR="00016A39" w:rsidRPr="00F30C71">
        <w:t>Crescas’s</w:t>
      </w:r>
      <w:proofErr w:type="spellEnd"/>
      <w:r w:rsidR="00016A39" w:rsidRPr="00F30C71">
        <w:t xml:space="preserve"> </w:t>
      </w:r>
      <w:r w:rsidR="00D90AA6" w:rsidRPr="00F30C71">
        <w:rPr>
          <w:i/>
        </w:rPr>
        <w:t xml:space="preserve">Or </w:t>
      </w:r>
      <w:proofErr w:type="spellStart"/>
      <w:r w:rsidR="00D90AA6" w:rsidRPr="00F30C71">
        <w:rPr>
          <w:i/>
        </w:rPr>
        <w:t>Adonai</w:t>
      </w:r>
      <w:proofErr w:type="spellEnd"/>
      <w:r w:rsidR="00016A39" w:rsidRPr="00F30C71">
        <w:t>, and</w:t>
      </w:r>
      <w:r w:rsidR="00D90AA6" w:rsidRPr="00F30C71">
        <w:t xml:space="preserve"> imagination in t</w:t>
      </w:r>
      <w:r w:rsidR="00F30C71" w:rsidRPr="00F30C71">
        <w:t>he work</w:t>
      </w:r>
      <w:r w:rsidR="00D90AA6" w:rsidRPr="00F30C71">
        <w:t xml:space="preserve"> of </w:t>
      </w:r>
      <w:proofErr w:type="spellStart"/>
      <w:r w:rsidR="009C1946">
        <w:rPr>
          <w:rFonts w:eastAsia="Times New Roman" w:cs="Times New Roman"/>
        </w:rPr>
        <w:t>Muhyi</w:t>
      </w:r>
      <w:proofErr w:type="spellEnd"/>
      <w:r w:rsidR="009C1946">
        <w:rPr>
          <w:rFonts w:eastAsia="Times New Roman" w:cs="Times New Roman"/>
        </w:rPr>
        <w:t xml:space="preserve"> al-Din </w:t>
      </w:r>
      <w:proofErr w:type="spellStart"/>
      <w:r w:rsidR="009C1946">
        <w:rPr>
          <w:rFonts w:eastAsia="Times New Roman" w:cs="Times New Roman"/>
        </w:rPr>
        <w:t>Ibn</w:t>
      </w:r>
      <w:proofErr w:type="spellEnd"/>
      <w:r w:rsidR="009C1946">
        <w:rPr>
          <w:rFonts w:eastAsia="Times New Roman" w:cs="Times New Roman"/>
        </w:rPr>
        <w:t xml:space="preserve"> al-‘</w:t>
      </w:r>
      <w:proofErr w:type="spellStart"/>
      <w:r w:rsidR="009C1946">
        <w:rPr>
          <w:rFonts w:eastAsia="Times New Roman" w:cs="Times New Roman"/>
        </w:rPr>
        <w:t>Arabi</w:t>
      </w:r>
      <w:proofErr w:type="spellEnd"/>
      <w:r w:rsidR="00DA1C23">
        <w:t xml:space="preserve">.  I will argue that </w:t>
      </w:r>
      <w:r w:rsidR="006E6999">
        <w:t xml:space="preserve">interreligious truth </w:t>
      </w:r>
      <w:r w:rsidR="00DA1C23">
        <w:t xml:space="preserve">is not a matter of </w:t>
      </w:r>
      <w:r w:rsidR="00797E98">
        <w:t>resolv</w:t>
      </w:r>
      <w:r w:rsidR="006E6999">
        <w:t xml:space="preserve">ing contradictory truth claims; rather, it </w:t>
      </w:r>
      <w:r w:rsidR="00797E98">
        <w:t xml:space="preserve">is a hermeneutical process </w:t>
      </w:r>
      <w:r w:rsidR="009F71E4">
        <w:t>involving</w:t>
      </w:r>
      <w:r w:rsidR="00797E98">
        <w:t xml:space="preserve"> imaginative encounters</w:t>
      </w:r>
      <w:r w:rsidR="006E6999">
        <w:t xml:space="preserve"> </w:t>
      </w:r>
      <w:r w:rsidR="00797E98">
        <w:t>across traditions.</w:t>
      </w:r>
    </w:p>
    <w:p w14:paraId="7B15D2F0" w14:textId="77777777" w:rsidR="001E556A" w:rsidRDefault="001E556A" w:rsidP="00954503"/>
    <w:p w14:paraId="217AB50C" w14:textId="77777777" w:rsidR="00DE6FC3" w:rsidRDefault="00DE6FC3" w:rsidP="00954503"/>
    <w:p w14:paraId="35ACEF73" w14:textId="3FC66C1F" w:rsidR="00B84F3B" w:rsidRDefault="00B84F3B" w:rsidP="00954503">
      <w:pPr>
        <w:rPr>
          <w:i/>
        </w:rPr>
      </w:pPr>
      <w:r>
        <w:rPr>
          <w:i/>
        </w:rPr>
        <w:t>I. Modern Perspectives on Religious Epistemology.</w:t>
      </w:r>
    </w:p>
    <w:p w14:paraId="5DE3A142" w14:textId="77777777" w:rsidR="00B84F3B" w:rsidRPr="00B84F3B" w:rsidRDefault="00B84F3B" w:rsidP="00954503">
      <w:pPr>
        <w:rPr>
          <w:i/>
        </w:rPr>
      </w:pPr>
    </w:p>
    <w:p w14:paraId="04A38D90" w14:textId="457F6984" w:rsidR="009569B7" w:rsidRDefault="009569B7" w:rsidP="00954503">
      <w:pPr>
        <w:ind w:firstLine="720"/>
      </w:pPr>
      <w:r>
        <w:lastRenderedPageBreak/>
        <w:t>M</w:t>
      </w:r>
      <w:r w:rsidR="00655595">
        <w:t>odern appr</w:t>
      </w:r>
      <w:r>
        <w:t xml:space="preserve">oaches to </w:t>
      </w:r>
      <w:r w:rsidR="00B84F3B">
        <w:t xml:space="preserve">religious difference </w:t>
      </w:r>
      <w:r w:rsidR="002D0C7B">
        <w:t>may be</w:t>
      </w:r>
      <w:bookmarkStart w:id="1" w:name="_GoBack"/>
      <w:bookmarkEnd w:id="1"/>
      <w:r w:rsidR="00F30C71">
        <w:t xml:space="preserve"> sorted into four categories</w:t>
      </w:r>
      <w:r>
        <w:t xml:space="preserve"> reflecting different epistemological assumptions about religious truth:</w:t>
      </w:r>
    </w:p>
    <w:p w14:paraId="6F12D1AF" w14:textId="0D015710" w:rsidR="0090338E" w:rsidRDefault="00B84F3B" w:rsidP="00954503">
      <w:pPr>
        <w:ind w:firstLine="720"/>
      </w:pPr>
      <w:r>
        <w:t>1</w:t>
      </w:r>
      <w:r w:rsidR="00E66ABF">
        <w:t xml:space="preserve">. </w:t>
      </w:r>
      <w:r w:rsidR="009569B7">
        <w:t>Exclusivis</w:t>
      </w:r>
      <w:r w:rsidR="00E85DDD">
        <w:t>m—</w:t>
      </w:r>
      <w:r w:rsidR="009569B7">
        <w:t>The exclusivist claims that there is one ultimate reality and on</w:t>
      </w:r>
      <w:r w:rsidR="00361308">
        <w:t>e way of knowing it</w:t>
      </w:r>
      <w:r w:rsidR="009569B7">
        <w:t xml:space="preserve">. </w:t>
      </w:r>
      <w:r w:rsidR="00572971">
        <w:t xml:space="preserve"> </w:t>
      </w:r>
      <w:r w:rsidR="007B2E16">
        <w:t>If Christianity is true, then Judaism and Islam are not</w:t>
      </w:r>
      <w:r w:rsidR="003E6A3D">
        <w:t>.</w:t>
      </w:r>
      <w:r w:rsidR="00676092">
        <w:rPr>
          <w:rStyle w:val="FootnoteReference"/>
        </w:rPr>
        <w:footnoteReference w:id="2"/>
      </w:r>
      <w:r w:rsidR="008E106A">
        <w:t xml:space="preserve">  Certainly, various </w:t>
      </w:r>
      <w:r w:rsidR="00B21452">
        <w:t>types</w:t>
      </w:r>
      <w:r w:rsidR="008E106A">
        <w:t xml:space="preserve"> of fundamentalism </w:t>
      </w:r>
      <w:r w:rsidR="00B21452">
        <w:t>are exclusivist</w:t>
      </w:r>
      <w:r w:rsidR="008E106A">
        <w:t xml:space="preserve">, but we should be careful not to dismiss exclusivism (or fundamentalism, for that matter) as anti-intellectual. </w:t>
      </w:r>
      <w:r w:rsidR="00B21452">
        <w:t xml:space="preserve"> </w:t>
      </w:r>
      <w:r w:rsidR="008C3631">
        <w:t xml:space="preserve">Eminent theologians like </w:t>
      </w:r>
      <w:r w:rsidR="003E6A3D">
        <w:t>Karl Barth</w:t>
      </w:r>
      <w:r w:rsidR="008E106A">
        <w:t xml:space="preserve"> make exclusivist claims about Christianity: “It alone has the commission and authority to be a missionary religion, i.e., to confront the world of religions as the one true religion, with absolute self-confidence to invite and challenge it to abandon its ways an</w:t>
      </w:r>
      <w:r w:rsidR="008B53C0">
        <w:t>d to start on the Christian way</w:t>
      </w:r>
      <w:r w:rsidR="008E106A">
        <w:t>”</w:t>
      </w:r>
      <w:r w:rsidR="008B53C0">
        <w:t xml:space="preserve"> </w:t>
      </w:r>
      <w:r w:rsidR="008B53C0" w:rsidRPr="00912EAC">
        <w:t>(Barth</w:t>
      </w:r>
      <w:r w:rsidR="00912EAC" w:rsidRPr="00912EAC">
        <w:t xml:space="preserve"> </w:t>
      </w:r>
      <w:r w:rsidR="00F665FE">
        <w:t>1956</w:t>
      </w:r>
      <w:r w:rsidR="00912EAC">
        <w:t xml:space="preserve">: </w:t>
      </w:r>
      <w:r w:rsidR="008B53C0" w:rsidRPr="00912EAC">
        <w:t>357)</w:t>
      </w:r>
      <w:r w:rsidR="008B53C0">
        <w:t>.</w:t>
      </w:r>
      <w:r w:rsidR="009C1946">
        <w:t xml:space="preserve"> </w:t>
      </w:r>
      <w:r w:rsidR="008B53C0">
        <w:t xml:space="preserve"> </w:t>
      </w:r>
      <w:r w:rsidR="00361308">
        <w:t xml:space="preserve">It will come as </w:t>
      </w:r>
      <w:r w:rsidR="0090338E">
        <w:t xml:space="preserve">no surprise that dialogue is not high on the list of priorities for exclusivists. </w:t>
      </w:r>
      <w:r w:rsidR="00DA1C23">
        <w:t xml:space="preserve"> </w:t>
      </w:r>
      <w:r w:rsidR="00B21452">
        <w:t>We should</w:t>
      </w:r>
      <w:r w:rsidR="0090338E">
        <w:t>, however</w:t>
      </w:r>
      <w:r w:rsidR="00B21452">
        <w:t xml:space="preserve">, </w:t>
      </w:r>
      <w:r w:rsidR="00521C4E">
        <w:t>keep in mind the effect that exclusivist vi</w:t>
      </w:r>
      <w:r w:rsidR="00706227">
        <w:t xml:space="preserve">ews </w:t>
      </w:r>
      <w:r w:rsidR="009C1946">
        <w:t xml:space="preserve">can </w:t>
      </w:r>
      <w:r w:rsidR="00706227">
        <w:t>have in debates about inter</w:t>
      </w:r>
      <w:r w:rsidR="00521C4E">
        <w:t xml:space="preserve">religious dialogue.  </w:t>
      </w:r>
    </w:p>
    <w:p w14:paraId="259A00D0" w14:textId="6780F999" w:rsidR="00676092" w:rsidRPr="00E66ABF" w:rsidRDefault="0090338E" w:rsidP="00954503">
      <w:pPr>
        <w:ind w:firstLine="720"/>
      </w:pPr>
      <w:r>
        <w:t>There are</w:t>
      </w:r>
      <w:r w:rsidR="00676092">
        <w:t xml:space="preserve"> a number of problems with </w:t>
      </w:r>
      <w:r w:rsidR="00521C4E">
        <w:t>exclusivism</w:t>
      </w:r>
      <w:r w:rsidR="00B21452">
        <w:t>.  I will highlight three</w:t>
      </w:r>
      <w:r w:rsidR="00676092">
        <w:t>:</w:t>
      </w:r>
      <w:r w:rsidR="00835270">
        <w:t xml:space="preserve"> </w:t>
      </w:r>
      <w:r w:rsidR="00B21452" w:rsidRPr="00B84F3B">
        <w:t>First</w:t>
      </w:r>
      <w:r w:rsidR="00933925">
        <w:t>,</w:t>
      </w:r>
      <w:r w:rsidR="00521C4E">
        <w:t xml:space="preserve"> the internal diversity of religious traditions </w:t>
      </w:r>
      <w:r w:rsidR="0052142D">
        <w:t>makes</w:t>
      </w:r>
      <w:r w:rsidR="00521C4E">
        <w:t xml:space="preserve"> the exclusivist position </w:t>
      </w:r>
      <w:r w:rsidR="00933925">
        <w:t>incoherent</w:t>
      </w:r>
      <w:r w:rsidR="00B11C1C">
        <w:t>.</w:t>
      </w:r>
      <w:r w:rsidR="00521C4E">
        <w:t xml:space="preserve">  If</w:t>
      </w:r>
      <w:r w:rsidR="00933925">
        <w:t>, for example,</w:t>
      </w:r>
      <w:r w:rsidR="00521C4E">
        <w:t xml:space="preserve"> I am a Christian exclusivist, </w:t>
      </w:r>
      <w:r w:rsidR="005B5AFB">
        <w:t xml:space="preserve">then </w:t>
      </w:r>
      <w:r w:rsidR="00521C4E">
        <w:t xml:space="preserve">to which version of Christianity should I </w:t>
      </w:r>
      <w:r w:rsidR="00E66ABF">
        <w:t>commit myself</w:t>
      </w:r>
      <w:r w:rsidR="00521C4E">
        <w:t xml:space="preserve">? </w:t>
      </w:r>
      <w:r w:rsidR="009C1946">
        <w:t xml:space="preserve"> </w:t>
      </w:r>
      <w:r w:rsidR="00521C4E">
        <w:t>After all, Roman Catholicism and Orthodox traditions make competing claims about such theologically central matters as the order of procession within the Trinity.  Do the conservative social stances of Southern Baptists reflect “the truth</w:t>
      </w:r>
      <w:r w:rsidR="009C1946">
        <w:t>,</w:t>
      </w:r>
      <w:r w:rsidR="00521C4E">
        <w:t>” or are the more liberal social eth</w:t>
      </w:r>
      <w:r w:rsidR="00361308">
        <w:t xml:space="preserve">ics of American Baptists truer?  </w:t>
      </w:r>
      <w:r w:rsidR="00B11C1C">
        <w:t xml:space="preserve">Which biblical version of Jesus’ ministry is true?  Must we reject the Gospel of John’s </w:t>
      </w:r>
      <w:r>
        <w:t xml:space="preserve">portrayal of </w:t>
      </w:r>
      <w:r w:rsidR="00B11C1C">
        <w:t>Jesus in favor of the Gospel of Mark’s?</w:t>
      </w:r>
      <w:r w:rsidR="00E66ABF">
        <w:t xml:space="preserve"> </w:t>
      </w:r>
      <w:r w:rsidR="00DA1C23">
        <w:t xml:space="preserve"> </w:t>
      </w:r>
      <w:r w:rsidR="00E66ABF">
        <w:t xml:space="preserve">In other words, </w:t>
      </w:r>
      <w:r w:rsidR="003E6A3D">
        <w:t xml:space="preserve">the exclusivist’s epistemological commitments </w:t>
      </w:r>
      <w:r w:rsidR="00361308">
        <w:t>ultimately</w:t>
      </w:r>
      <w:r w:rsidR="003E6A3D">
        <w:t xml:space="preserve"> put her at odds with </w:t>
      </w:r>
      <w:r w:rsidR="00361308">
        <w:t>important segments of</w:t>
      </w:r>
      <w:r w:rsidR="003E6A3D">
        <w:t xml:space="preserve"> </w:t>
      </w:r>
      <w:r w:rsidR="00706227">
        <w:t xml:space="preserve">the </w:t>
      </w:r>
      <w:r w:rsidR="003E6A3D">
        <w:t xml:space="preserve">tradition she seeks to affirm.  </w:t>
      </w:r>
      <w:r w:rsidR="00E66ABF" w:rsidRPr="00B84F3B">
        <w:t>Second</w:t>
      </w:r>
      <w:r w:rsidR="00933925">
        <w:t xml:space="preserve">, exclusivism tends to reduce </w:t>
      </w:r>
      <w:r w:rsidR="003E6A3D">
        <w:t>religion</w:t>
      </w:r>
      <w:r w:rsidR="00F96FE9">
        <w:t>s to</w:t>
      </w:r>
      <w:r w:rsidR="00933925">
        <w:t xml:space="preserve"> set</w:t>
      </w:r>
      <w:r w:rsidR="00F96FE9">
        <w:t>s</w:t>
      </w:r>
      <w:r w:rsidR="00933925">
        <w:t xml:space="preserve"> of belief claims, so that truth becomes</w:t>
      </w:r>
      <w:r w:rsidR="00E66ABF">
        <w:t xml:space="preserve"> a function of evaluating belief claims</w:t>
      </w:r>
      <w:r w:rsidR="00933925">
        <w:t xml:space="preserve">.  Yet it is not clear that religious traditions can be reduced to a set </w:t>
      </w:r>
      <w:r w:rsidR="003E6A3D">
        <w:t>of</w:t>
      </w:r>
      <w:r w:rsidR="00933925">
        <w:t xml:space="preserve"> propositio</w:t>
      </w:r>
      <w:r w:rsidR="00E66ABF">
        <w:t xml:space="preserve">ns, nor is it clear that truth must be treated as a condition that applies </w:t>
      </w:r>
      <w:r w:rsidR="00906A20">
        <w:t xml:space="preserve">exclusively </w:t>
      </w:r>
      <w:r w:rsidR="00E66ABF">
        <w:t>to propositions</w:t>
      </w:r>
      <w:r w:rsidR="009C1946">
        <w:t>.</w:t>
      </w:r>
      <w:r w:rsidR="00C0060A">
        <w:rPr>
          <w:rStyle w:val="FootnoteReference"/>
        </w:rPr>
        <w:footnoteReference w:id="3"/>
      </w:r>
      <w:r w:rsidR="00F96FE9">
        <w:t xml:space="preserve">  </w:t>
      </w:r>
      <w:r w:rsidR="00E66ABF" w:rsidRPr="00B84F3B">
        <w:t>Third</w:t>
      </w:r>
      <w:r w:rsidR="00E66ABF">
        <w:rPr>
          <w:b/>
        </w:rPr>
        <w:t xml:space="preserve">, </w:t>
      </w:r>
      <w:r w:rsidR="00E66ABF">
        <w:t xml:space="preserve">exclusivism is ethically problematic inasmuch as it functions as </w:t>
      </w:r>
      <w:r w:rsidR="003E6A3D">
        <w:t xml:space="preserve">a </w:t>
      </w:r>
      <w:r w:rsidR="00E66ABF">
        <w:t>justification for all sorts of colonial and dehumanizing tendencies</w:t>
      </w:r>
      <w:r w:rsidR="00D60FAC">
        <w:t>.</w:t>
      </w:r>
      <w:r w:rsidR="00706227">
        <w:t xml:space="preserve"> (An exclusivist might not care about this third point, but we are free to</w:t>
      </w:r>
      <w:r w:rsidR="00194D0A">
        <w:t xml:space="preserve"> do so.</w:t>
      </w:r>
      <w:r w:rsidR="00706227">
        <w:t>)</w:t>
      </w:r>
    </w:p>
    <w:p w14:paraId="7B00E584" w14:textId="40519EDC" w:rsidR="00730DE5" w:rsidRDefault="00B84F3B" w:rsidP="00954503">
      <w:pPr>
        <w:ind w:firstLine="720"/>
      </w:pPr>
      <w:r>
        <w:t>2</w:t>
      </w:r>
      <w:r w:rsidR="00E66ABF">
        <w:t xml:space="preserve">. </w:t>
      </w:r>
      <w:r w:rsidR="0090338E">
        <w:t>Inclusivis</w:t>
      </w:r>
      <w:r w:rsidR="00E85DDD">
        <w:t>m—</w:t>
      </w:r>
      <w:r w:rsidR="00FD263C">
        <w:t>The</w:t>
      </w:r>
      <w:r w:rsidR="0090338E">
        <w:t xml:space="preserve"> second </w:t>
      </w:r>
      <w:r w:rsidR="003E6A3D">
        <w:t>model of</w:t>
      </w:r>
      <w:r w:rsidR="0090338E">
        <w:t xml:space="preserve"> </w:t>
      </w:r>
      <w:r w:rsidR="00E66ABF">
        <w:t>religious difference</w:t>
      </w:r>
      <w:r w:rsidR="00016A39">
        <w:t xml:space="preserve"> </w:t>
      </w:r>
      <w:r w:rsidR="00FD263C">
        <w:t>is</w:t>
      </w:r>
      <w:r w:rsidR="003E6A3D">
        <w:t xml:space="preserve"> “inclusivism</w:t>
      </w:r>
      <w:r w:rsidR="0090338E">
        <w:t>.”</w:t>
      </w:r>
      <w:r w:rsidR="00FD263C">
        <w:t xml:space="preserve">  Much like an</w:t>
      </w:r>
      <w:r w:rsidR="00016A39">
        <w:t xml:space="preserve"> exclusivist,</w:t>
      </w:r>
      <w:r w:rsidR="00FD263C">
        <w:t xml:space="preserve"> </w:t>
      </w:r>
      <w:r w:rsidR="00361308">
        <w:t>an</w:t>
      </w:r>
      <w:r w:rsidR="00FD263C">
        <w:t xml:space="preserve"> </w:t>
      </w:r>
      <w:proofErr w:type="spellStart"/>
      <w:r w:rsidR="00FD263C">
        <w:t>inclusivist</w:t>
      </w:r>
      <w:proofErr w:type="spellEnd"/>
      <w:r w:rsidR="00FD263C">
        <w:t xml:space="preserve"> believes that there is one ultimate reality and one way of knowing it.</w:t>
      </w:r>
      <w:r w:rsidR="00E66ABF">
        <w:t xml:space="preserve">  </w:t>
      </w:r>
      <w:r w:rsidR="00760A56">
        <w:t>T</w:t>
      </w:r>
      <w:r w:rsidR="00E66ABF">
        <w:t xml:space="preserve">he </w:t>
      </w:r>
      <w:proofErr w:type="spellStart"/>
      <w:r w:rsidR="00E66ABF">
        <w:t>inclusivist</w:t>
      </w:r>
      <w:proofErr w:type="spellEnd"/>
      <w:r w:rsidR="005E09F6">
        <w:t xml:space="preserve"> </w:t>
      </w:r>
      <w:r w:rsidR="00361308">
        <w:t xml:space="preserve">does, however, </w:t>
      </w:r>
      <w:r w:rsidR="005E09F6">
        <w:t>recogni</w:t>
      </w:r>
      <w:r w:rsidR="00361308">
        <w:t>ze</w:t>
      </w:r>
      <w:r w:rsidR="005E09F6">
        <w:t xml:space="preserve"> the potential for </w:t>
      </w:r>
      <w:r w:rsidR="005E09F6">
        <w:lastRenderedPageBreak/>
        <w:t xml:space="preserve">truth in other religious traditions to the extent that </w:t>
      </w:r>
      <w:r w:rsidR="00361308">
        <w:t>those traditions</w:t>
      </w:r>
      <w:r w:rsidR="005E09F6">
        <w:t xml:space="preserve"> mirror the one true tradition.  Karl </w:t>
      </w:r>
      <w:proofErr w:type="spellStart"/>
      <w:r w:rsidR="005E09F6">
        <w:t>Rahner</w:t>
      </w:r>
      <w:proofErr w:type="spellEnd"/>
      <w:r w:rsidR="005E09F6">
        <w:t xml:space="preserve"> is often cited as a proponent of this view</w:t>
      </w:r>
      <w:r w:rsidR="00760A56">
        <w:t>.</w:t>
      </w:r>
      <w:r w:rsidR="00E66ABF">
        <w:t xml:space="preserve">  </w:t>
      </w:r>
      <w:proofErr w:type="spellStart"/>
      <w:r w:rsidR="00772734">
        <w:t>Rahner</w:t>
      </w:r>
      <w:proofErr w:type="spellEnd"/>
      <w:r w:rsidR="00772734">
        <w:t xml:space="preserve"> argues that the general human drive for self-knowledge reflects </w:t>
      </w:r>
      <w:proofErr w:type="gramStart"/>
      <w:r w:rsidR="00772734">
        <w:t>an openness</w:t>
      </w:r>
      <w:proofErr w:type="gramEnd"/>
      <w:r w:rsidR="00772734">
        <w:t xml:space="preserve"> to Being, which is in </w:t>
      </w:r>
      <w:r w:rsidR="003E6A3D">
        <w:t>fact</w:t>
      </w:r>
      <w:r w:rsidR="00772734">
        <w:t xml:space="preserve"> an unreflective awareness of God (infinite Being).  </w:t>
      </w:r>
      <w:r w:rsidR="003E6A3D">
        <w:t>This</w:t>
      </w:r>
      <w:r w:rsidR="00B70CB8">
        <w:t xml:space="preserve"> </w:t>
      </w:r>
      <w:r w:rsidR="00772734">
        <w:t>openness to Being is</w:t>
      </w:r>
      <w:r w:rsidR="00B70CB8">
        <w:t xml:space="preserve"> one of </w:t>
      </w:r>
      <w:r w:rsidR="003E6A3D">
        <w:t>the</w:t>
      </w:r>
      <w:r w:rsidR="00B70CB8">
        <w:t xml:space="preserve"> ways that God lets </w:t>
      </w:r>
      <w:proofErr w:type="spellStart"/>
      <w:r w:rsidR="0052142D">
        <w:t>godself</w:t>
      </w:r>
      <w:proofErr w:type="spellEnd"/>
      <w:r w:rsidR="0052142D">
        <w:t xml:space="preserve"> </w:t>
      </w:r>
      <w:r w:rsidR="00B70CB8">
        <w:t>be known by humans; it therefore constit</w:t>
      </w:r>
      <w:r w:rsidR="003E6A3D">
        <w:t>utes a moment of hidden grace.  T</w:t>
      </w:r>
      <w:r w:rsidR="00B70CB8">
        <w:t xml:space="preserve">he decisive </w:t>
      </w:r>
      <w:r w:rsidR="003E6A3D">
        <w:t xml:space="preserve">and most explicit </w:t>
      </w:r>
      <w:r w:rsidR="00B70CB8">
        <w:t>manifestation of grace occurs</w:t>
      </w:r>
      <w:r w:rsidR="003E6A3D">
        <w:t xml:space="preserve">, for </w:t>
      </w:r>
      <w:proofErr w:type="spellStart"/>
      <w:r w:rsidR="003E6A3D">
        <w:t>Rahner</w:t>
      </w:r>
      <w:proofErr w:type="spellEnd"/>
      <w:r w:rsidR="003E6A3D">
        <w:t>,</w:t>
      </w:r>
      <w:r w:rsidR="00B70CB8">
        <w:t xml:space="preserve"> in the person of Christ, and there is</w:t>
      </w:r>
      <w:r w:rsidR="00577E8C">
        <w:t xml:space="preserve"> no salvation apart from</w:t>
      </w:r>
      <w:r w:rsidR="00FC05E3">
        <w:t xml:space="preserve"> Christ.  </w:t>
      </w:r>
      <w:proofErr w:type="spellStart"/>
      <w:r w:rsidR="00FC05E3">
        <w:t>Inclusivist</w:t>
      </w:r>
      <w:proofErr w:type="spellEnd"/>
      <w:r w:rsidR="00FC05E3">
        <w:t xml:space="preserve"> positions, like </w:t>
      </w:r>
      <w:proofErr w:type="spellStart"/>
      <w:r w:rsidR="00FC05E3">
        <w:t>Rahner’s</w:t>
      </w:r>
      <w:proofErr w:type="spellEnd"/>
      <w:r w:rsidR="00FC05E3">
        <w:t>,</w:t>
      </w:r>
      <w:r w:rsidR="00577E8C">
        <w:t xml:space="preserve"> try to balance</w:t>
      </w:r>
      <w:r w:rsidR="00730DE5">
        <w:t xml:space="preserve"> soteriological exclusivism (one c</w:t>
      </w:r>
      <w:r w:rsidR="00DE6FC3">
        <w:t>an only be saved through Christ</w:t>
      </w:r>
      <w:r w:rsidR="00730DE5">
        <w:t xml:space="preserve">) with the universality of divine grace.  The result is a hierarchical approach to religious difference: Christianity is the decisive manifestation of grace and the only route to salvation, but inasmuch as grace (as openness to Being) is universally available, other religious traditions can be paths to </w:t>
      </w:r>
      <w:r w:rsidR="00730DE5">
        <w:rPr>
          <w:i/>
        </w:rPr>
        <w:t xml:space="preserve">Christian </w:t>
      </w:r>
      <w:r w:rsidR="00730DE5">
        <w:t xml:space="preserve">salvation.  </w:t>
      </w:r>
      <w:proofErr w:type="spellStart"/>
      <w:r w:rsidR="00730DE5">
        <w:t>Rahner</w:t>
      </w:r>
      <w:proofErr w:type="spellEnd"/>
      <w:r w:rsidR="00730DE5">
        <w:t xml:space="preserve"> speaks of faithful practitioners of other relig</w:t>
      </w:r>
      <w:r w:rsidR="00706227">
        <w:t>ions as “anonymous Christians”:</w:t>
      </w:r>
    </w:p>
    <w:p w14:paraId="5E1A3441" w14:textId="7B14468F" w:rsidR="00B84F3B" w:rsidRDefault="00730DE5" w:rsidP="00954503">
      <w:pPr>
        <w:ind w:left="720"/>
      </w:pPr>
      <w:r w:rsidRPr="00730DE5">
        <w:t>Anonymous Christianity means that a person lives in the grace of God and attains salvation outside of explicitly constituted Christianity — Let us say, a Buddhist monk — who, because he follows his conscience, attains salvation and lives in the grace of God; of him I must say that he is an anonymous Christian; if not, I would have to presuppose that there is a genuine path to salvation that really attains that goal, but that simply has nothing to do with Jes</w:t>
      </w:r>
      <w:r w:rsidR="0084386F">
        <w:t>us Christ. But I cannot do that</w:t>
      </w:r>
      <w:r w:rsidR="008B53C0">
        <w:t xml:space="preserve"> (</w:t>
      </w:r>
      <w:proofErr w:type="spellStart"/>
      <w:r w:rsidR="008B53C0">
        <w:t>Rahner</w:t>
      </w:r>
      <w:proofErr w:type="spellEnd"/>
      <w:r w:rsidR="008B53C0">
        <w:t xml:space="preserve"> 1986: 135).</w:t>
      </w:r>
    </w:p>
    <w:p w14:paraId="3A638E83" w14:textId="30EA3B0E" w:rsidR="00E85DDD" w:rsidRDefault="00E85DDD" w:rsidP="00954503">
      <w:r>
        <w:t xml:space="preserve">While </w:t>
      </w:r>
      <w:proofErr w:type="spellStart"/>
      <w:r>
        <w:t>Rahner</w:t>
      </w:r>
      <w:proofErr w:type="spellEnd"/>
      <w:r>
        <w:t xml:space="preserve"> </w:t>
      </w:r>
      <w:r w:rsidR="003E6A3D">
        <w:t>sees</w:t>
      </w:r>
      <w:r>
        <w:t xml:space="preserve"> salvific potential in other religions, his epistemological position is virtually indistinguishable from exclusivism: There is one ultimate reality, and one way of knowing it.  Other religions m</w:t>
      </w:r>
      <w:r w:rsidR="007E3A38">
        <w:t>ay</w:t>
      </w:r>
      <w:r>
        <w:t xml:space="preserve"> contain true elements, but only </w:t>
      </w:r>
      <w:r w:rsidR="003E6A3D">
        <w:t>inasmuch as</w:t>
      </w:r>
      <w:r>
        <w:t xml:space="preserve"> they mirror Christianity.  Inclusivism is therefore subject to the same criticisms as exclusivism, and so I won’t dwell on it here.</w:t>
      </w:r>
    </w:p>
    <w:p w14:paraId="4AE51BEA" w14:textId="54E4BB23" w:rsidR="00250AF3" w:rsidRDefault="00E85DDD" w:rsidP="00954503">
      <w:r>
        <w:tab/>
      </w:r>
      <w:r w:rsidR="00B84F3B">
        <w:t>3</w:t>
      </w:r>
      <w:r>
        <w:t>. Pluralism—The third approach to religious difference</w:t>
      </w:r>
      <w:r w:rsidR="00896A42">
        <w:t>, pluralism,</w:t>
      </w:r>
      <w:r>
        <w:t xml:space="preserve"> </w:t>
      </w:r>
      <w:r w:rsidR="00896A42">
        <w:t xml:space="preserve">is exemplified in the work of John Hick. </w:t>
      </w:r>
      <w:r w:rsidR="00605752">
        <w:t xml:space="preserve"> Hick argues that phenomenological similarities across religio</w:t>
      </w:r>
      <w:r w:rsidR="0084386F">
        <w:t>n</w:t>
      </w:r>
      <w:r w:rsidR="00605752">
        <w:t xml:space="preserve">s point to an underlying unity: “we have to ask whether people in church, synagogue, mosque, </w:t>
      </w:r>
      <w:proofErr w:type="spellStart"/>
      <w:r w:rsidR="00605752">
        <w:t>gurdwara</w:t>
      </w:r>
      <w:proofErr w:type="spellEnd"/>
      <w:r w:rsidR="00605752">
        <w:t xml:space="preserve">, and temple are worshipping different Gods or are worshipping the same God? Are </w:t>
      </w:r>
      <w:proofErr w:type="spellStart"/>
      <w:r w:rsidR="00605752">
        <w:t>Adonai</w:t>
      </w:r>
      <w:proofErr w:type="spellEnd"/>
      <w:r w:rsidR="00605752">
        <w:t xml:space="preserve"> and God, </w:t>
      </w:r>
      <w:r w:rsidR="000B7E16">
        <w:t xml:space="preserve">Allah and </w:t>
      </w:r>
      <w:proofErr w:type="spellStart"/>
      <w:r w:rsidR="000B7E16">
        <w:t>Ekoamkar</w:t>
      </w:r>
      <w:proofErr w:type="spellEnd"/>
      <w:r w:rsidR="000B7E16">
        <w:t xml:space="preserve">, Rama and Krishna different gods, or are these different names for the same ultimate </w:t>
      </w:r>
      <w:proofErr w:type="gramStart"/>
      <w:r w:rsidR="000B7E16">
        <w:t>Being</w:t>
      </w:r>
      <w:proofErr w:type="gramEnd"/>
      <w:r w:rsidR="000B7E16">
        <w:t>?”</w:t>
      </w:r>
      <w:r w:rsidR="008B53C0">
        <w:t xml:space="preserve"> (Hick 1982: 66).</w:t>
      </w:r>
      <w:r w:rsidR="00C83E9E">
        <w:t xml:space="preserve"> </w:t>
      </w:r>
      <w:r w:rsidR="008B53C0">
        <w:t xml:space="preserve"> </w:t>
      </w:r>
      <w:r w:rsidR="000B7E16">
        <w:t xml:space="preserve">There are, Hick claims, three possible answers to this question.  </w:t>
      </w:r>
      <w:r w:rsidR="000B7E16" w:rsidRPr="00B84F3B">
        <w:t>First</w:t>
      </w:r>
      <w:r w:rsidR="000B7E16">
        <w:t xml:space="preserve">, it is logically possible that there are ontologically many gods and epistemologically many ways of knowing them.  </w:t>
      </w:r>
      <w:r w:rsidR="00DE6FC3">
        <w:t>T</w:t>
      </w:r>
      <w:r w:rsidR="000B7E16">
        <w:t>his polyt</w:t>
      </w:r>
      <w:r w:rsidR="00B84F3B">
        <w:t>heistic view</w:t>
      </w:r>
      <w:r w:rsidR="00DE6FC3">
        <w:t xml:space="preserve"> would, however,</w:t>
      </w:r>
      <w:r w:rsidR="00B84F3B">
        <w:t xml:space="preserve"> </w:t>
      </w:r>
      <w:r w:rsidR="00DE6FC3">
        <w:t>exclude</w:t>
      </w:r>
      <w:r w:rsidR="00B84F3B">
        <w:t xml:space="preserve"> </w:t>
      </w:r>
      <w:r w:rsidR="00DE6FC3">
        <w:t>committed monotheists</w:t>
      </w:r>
      <w:r w:rsidR="0084386F">
        <w:t>.</w:t>
      </w:r>
      <w:r w:rsidR="000B7E16">
        <w:t xml:space="preserve"> </w:t>
      </w:r>
      <w:r w:rsidR="0084386F">
        <w:t xml:space="preserve"> </w:t>
      </w:r>
      <w:r w:rsidR="00775781">
        <w:t>Given that many religious people are monotheists,</w:t>
      </w:r>
      <w:r w:rsidR="000950B3">
        <w:t xml:space="preserve"> this would not be a good way to make sense of </w:t>
      </w:r>
      <w:r w:rsidR="00775781">
        <w:t xml:space="preserve">religious diversity.  </w:t>
      </w:r>
      <w:r w:rsidR="000950B3" w:rsidRPr="00B84F3B">
        <w:t>Second</w:t>
      </w:r>
      <w:r w:rsidR="000950B3">
        <w:t xml:space="preserve">, it is possible that there is ontologically one god, and epistemologically one way of knowing it.  Hick rules </w:t>
      </w:r>
      <w:r w:rsidR="0084386F">
        <w:t>this out</w:t>
      </w:r>
      <w:r w:rsidR="000950B3">
        <w:t xml:space="preserve"> because</w:t>
      </w:r>
      <w:r w:rsidR="007E3A38">
        <w:t xml:space="preserve"> it quickly becomes incoherent.  T</w:t>
      </w:r>
      <w:r w:rsidR="000950B3">
        <w:t xml:space="preserve">here are many different images of the divine </w:t>
      </w:r>
      <w:r w:rsidR="007E3A38">
        <w:t xml:space="preserve">operating </w:t>
      </w:r>
      <w:r w:rsidR="000950B3">
        <w:t xml:space="preserve">within any </w:t>
      </w:r>
      <w:r w:rsidR="0084386F">
        <w:t xml:space="preserve">one </w:t>
      </w:r>
      <w:r w:rsidR="000950B3">
        <w:t>tradition</w:t>
      </w:r>
      <w:r w:rsidR="0084386F">
        <w:t xml:space="preserve">.  </w:t>
      </w:r>
      <w:r w:rsidR="000950B3">
        <w:t xml:space="preserve">So, even within </w:t>
      </w:r>
      <w:r w:rsidR="007E3A38">
        <w:t>Christianity</w:t>
      </w:r>
      <w:r w:rsidR="000950B3">
        <w:t>, there are many different ways of knowing God</w:t>
      </w:r>
      <w:r w:rsidR="007E3A38">
        <w:t>.  Which Christianity is the true Christianity?</w:t>
      </w:r>
      <w:r w:rsidR="000950B3">
        <w:t xml:space="preserve">  </w:t>
      </w:r>
      <w:r w:rsidR="000950B3" w:rsidRPr="00B84F3B">
        <w:t>Third</w:t>
      </w:r>
      <w:r w:rsidR="000950B3">
        <w:t xml:space="preserve">, it is possible that there is one God and many ways </w:t>
      </w:r>
      <w:r w:rsidR="007A3938">
        <w:t>of knowing it.</w:t>
      </w:r>
      <w:r w:rsidR="0084386F">
        <w:t xml:space="preserve"> </w:t>
      </w:r>
      <w:r w:rsidR="008B53C0">
        <w:t xml:space="preserve"> </w:t>
      </w:r>
      <w:r w:rsidR="006C3092">
        <w:t xml:space="preserve">Hick </w:t>
      </w:r>
      <w:r w:rsidR="007E3A38">
        <w:t>explains</w:t>
      </w:r>
      <w:r w:rsidR="006C3092">
        <w:t xml:space="preserve"> this idea in terms of </w:t>
      </w:r>
      <w:r w:rsidR="0084386F">
        <w:t>a</w:t>
      </w:r>
      <w:r w:rsidR="006C3092">
        <w:t xml:space="preserve"> Kantian distinction between the phenomenal and the </w:t>
      </w:r>
      <w:proofErr w:type="spellStart"/>
      <w:r w:rsidR="006C3092">
        <w:t>noumenal</w:t>
      </w:r>
      <w:proofErr w:type="spellEnd"/>
      <w:r w:rsidR="006C3092">
        <w:t xml:space="preserve">.  There are things </w:t>
      </w:r>
      <w:proofErr w:type="gramStart"/>
      <w:r w:rsidR="006C3092">
        <w:t>as we perceive them (</w:t>
      </w:r>
      <w:r w:rsidR="006C3092" w:rsidRPr="00706227">
        <w:rPr>
          <w:i/>
        </w:rPr>
        <w:t>phenomena</w:t>
      </w:r>
      <w:r w:rsidR="006C3092">
        <w:t xml:space="preserve">), </w:t>
      </w:r>
      <w:r w:rsidR="001C6467">
        <w:t>which are limited by</w:t>
      </w:r>
      <w:r w:rsidR="006C3092">
        <w:t xml:space="preserve"> our various assumptions</w:t>
      </w:r>
      <w:r w:rsidR="001C6467">
        <w:t xml:space="preserve"> about the world</w:t>
      </w:r>
      <w:r w:rsidR="006C3092">
        <w:t xml:space="preserve">, </w:t>
      </w:r>
      <w:r w:rsidR="001C6467">
        <w:t xml:space="preserve">our </w:t>
      </w:r>
      <w:r w:rsidR="006C3092">
        <w:t>perceptual structures, and so forth;</w:t>
      </w:r>
      <w:proofErr w:type="gramEnd"/>
      <w:r w:rsidR="006C3092">
        <w:t xml:space="preserve"> and </w:t>
      </w:r>
      <w:r w:rsidR="00B84F3B">
        <w:t xml:space="preserve">then </w:t>
      </w:r>
      <w:r w:rsidR="006C3092">
        <w:lastRenderedPageBreak/>
        <w:t>there are things as they exist in themselves (</w:t>
      </w:r>
      <w:proofErr w:type="spellStart"/>
      <w:r w:rsidR="006C3092" w:rsidRPr="00706227">
        <w:rPr>
          <w:i/>
        </w:rPr>
        <w:t>noumena</w:t>
      </w:r>
      <w:proofErr w:type="spellEnd"/>
      <w:r w:rsidR="006C3092">
        <w:t>)</w:t>
      </w:r>
      <w:r w:rsidR="0084386F">
        <w:t xml:space="preserve">, which we cannot know.  </w:t>
      </w:r>
      <w:r w:rsidR="006C3092">
        <w:t xml:space="preserve">Similarly, for Hick, religions </w:t>
      </w:r>
      <w:r w:rsidR="00985F5C">
        <w:t>know God within the limitations of human perception and experience, which are culturally determined</w:t>
      </w:r>
      <w:r w:rsidR="008B53C0">
        <w:t xml:space="preserve"> (Hick 1982: 105).</w:t>
      </w:r>
      <w:r w:rsidR="00985F5C">
        <w:t xml:space="preserve"> </w:t>
      </w:r>
      <w:r w:rsidR="008B53C0">
        <w:t xml:space="preserve"> </w:t>
      </w:r>
      <w:r w:rsidR="00985F5C">
        <w:t>So, we might say that Islam is an Arabi</w:t>
      </w:r>
      <w:r w:rsidR="001C6467">
        <w:t>c way of knowing God, and Hindu</w:t>
      </w:r>
      <w:r w:rsidR="00985F5C">
        <w:t>i</w:t>
      </w:r>
      <w:r w:rsidR="001C6467">
        <w:t>s</w:t>
      </w:r>
      <w:r w:rsidR="00985F5C">
        <w:t xml:space="preserve">m </w:t>
      </w:r>
      <w:r w:rsidR="001C6467">
        <w:t>is an Indian way of knowing God, and Christianity is a Greco-Roman way of knowing God.  (In his later work, Hick trades the term “God” for “the Real.”)  Yet no religion has complete</w:t>
      </w:r>
      <w:r w:rsidR="0084386F">
        <w:t xml:space="preserve"> or exclusive</w:t>
      </w:r>
      <w:r w:rsidR="001C6467">
        <w:t xml:space="preserve"> access to God.</w:t>
      </w:r>
    </w:p>
    <w:p w14:paraId="42F05AF3" w14:textId="617DD401" w:rsidR="00EC3041" w:rsidRDefault="001C6467" w:rsidP="00954503">
      <w:r>
        <w:tab/>
        <w:t xml:space="preserve">Hick’s pluralism is certainly laudable </w:t>
      </w:r>
      <w:r w:rsidR="00706227">
        <w:t>for getting past the “I’m right and</w:t>
      </w:r>
      <w:r>
        <w:t xml:space="preserve"> you’re wrong” approach to religious difference, but it </w:t>
      </w:r>
      <w:r w:rsidR="00FA1248">
        <w:t xml:space="preserve">has a </w:t>
      </w:r>
      <w:r w:rsidR="00D12EB6">
        <w:t>two main</w:t>
      </w:r>
      <w:r w:rsidR="00FA1248">
        <w:t xml:space="preserve"> problems.  </w:t>
      </w:r>
      <w:r w:rsidR="00FA1248" w:rsidRPr="00B84F3B">
        <w:t>First</w:t>
      </w:r>
      <w:r w:rsidR="00FA1248">
        <w:t xml:space="preserve">, Hick claims </w:t>
      </w:r>
      <w:r w:rsidR="0084386F">
        <w:t>that w</w:t>
      </w:r>
      <w:r w:rsidR="00FA1248">
        <w:t>hen</w:t>
      </w:r>
      <w:r w:rsidR="0084386F">
        <w:t>ever</w:t>
      </w:r>
      <w:r w:rsidR="00FA1248">
        <w:t xml:space="preserve"> religions make exclusive claims about God</w:t>
      </w:r>
      <w:r w:rsidR="0084386F">
        <w:t xml:space="preserve">, </w:t>
      </w:r>
      <w:r w:rsidR="00FA1248">
        <w:t xml:space="preserve">we are obliged to take those claims metaphorically. </w:t>
      </w:r>
      <w:r w:rsidR="00E20B70">
        <w:t xml:space="preserve"> </w:t>
      </w:r>
      <w:r w:rsidR="00FA1248">
        <w:t xml:space="preserve">Hick </w:t>
      </w:r>
      <w:r w:rsidR="00355084">
        <w:t>argues</w:t>
      </w:r>
      <w:r w:rsidR="00FA1248">
        <w:t>, for example, that “Son of God” and “God incarnate</w:t>
      </w:r>
      <w:r w:rsidR="00706227">
        <w:t>” language</w:t>
      </w:r>
      <w:r w:rsidR="00FA1248">
        <w:t xml:space="preserve"> in Christianity cannot be taken literally, for that would </w:t>
      </w:r>
      <w:r w:rsidR="00355084">
        <w:t xml:space="preserve">amount to </w:t>
      </w:r>
      <w:r w:rsidR="00F30C71">
        <w:t>exclusive</w:t>
      </w:r>
      <w:r w:rsidR="00355084">
        <w:t xml:space="preserve"> knowledge of God.</w:t>
      </w:r>
      <w:r w:rsidR="00FA1248">
        <w:t xml:space="preserve"> </w:t>
      </w:r>
      <w:r w:rsidR="0084386F">
        <w:t xml:space="preserve"> Such language should be regarded metaphorically</w:t>
      </w:r>
      <w:r w:rsidR="00355084">
        <w:t xml:space="preserve">: </w:t>
      </w:r>
      <w:r w:rsidR="00FA1248">
        <w:t xml:space="preserve">“Thus reality is being expressed </w:t>
      </w:r>
      <w:proofErr w:type="spellStart"/>
      <w:r w:rsidR="00FA1248">
        <w:t>mythologically</w:t>
      </w:r>
      <w:proofErr w:type="spellEnd"/>
      <w:r w:rsidR="00FA1248">
        <w:t xml:space="preserve"> when we say that Jesus is the Son of God, God </w:t>
      </w:r>
      <w:r w:rsidR="008B53C0">
        <w:t>incarnate, the Logos made flesh</w:t>
      </w:r>
      <w:r w:rsidR="00FA1248">
        <w:t>”</w:t>
      </w:r>
      <w:r w:rsidR="008B53C0">
        <w:t xml:space="preserve"> (Hick 1982: 75).</w:t>
      </w:r>
      <w:r w:rsidR="00355084">
        <w:t xml:space="preserve"> </w:t>
      </w:r>
      <w:r w:rsidR="008B53C0">
        <w:t xml:space="preserve"> </w:t>
      </w:r>
      <w:r w:rsidR="00E20B70">
        <w:t>This is a rather high price for admission</w:t>
      </w:r>
      <w:r w:rsidR="00194D0A">
        <w:t>, as t</w:t>
      </w:r>
      <w:r w:rsidR="00355084">
        <w:t xml:space="preserve">he reality of the incarnation is a core Christian belief!  </w:t>
      </w:r>
      <w:r w:rsidR="00E20B70">
        <w:t xml:space="preserve">And </w:t>
      </w:r>
      <w:r w:rsidR="00355084">
        <w:t>her</w:t>
      </w:r>
      <w:r w:rsidR="007E3A38">
        <w:t>ein lies the main problem with p</w:t>
      </w:r>
      <w:r w:rsidR="00355084">
        <w:t>luralism</w:t>
      </w:r>
      <w:r w:rsidR="0084386F">
        <w:t>:</w:t>
      </w:r>
      <w:r w:rsidR="00355084">
        <w:t xml:space="preserve"> </w:t>
      </w:r>
      <w:r w:rsidR="007E3A38">
        <w:t>I</w:t>
      </w:r>
      <w:r w:rsidR="00D12EB6">
        <w:t>t asks</w:t>
      </w:r>
      <w:r w:rsidR="00355084">
        <w:t xml:space="preserve"> </w:t>
      </w:r>
      <w:r w:rsidR="00E20B70">
        <w:t xml:space="preserve">religious </w:t>
      </w:r>
      <w:r w:rsidR="00355084">
        <w:t xml:space="preserve">adherents </w:t>
      </w:r>
      <w:r w:rsidR="00FC05E3">
        <w:t xml:space="preserve">to </w:t>
      </w:r>
      <w:r w:rsidR="00355084">
        <w:t xml:space="preserve">give up core tenets </w:t>
      </w:r>
      <w:r w:rsidR="00E20B70">
        <w:t xml:space="preserve">of their tradition </w:t>
      </w:r>
      <w:r w:rsidR="00355084">
        <w:t xml:space="preserve">in order to acknowledge the truth of other traditions.  </w:t>
      </w:r>
      <w:r w:rsidR="00D12EB6">
        <w:t xml:space="preserve">In </w:t>
      </w:r>
      <w:r w:rsidR="0084386F">
        <w:t>the end</w:t>
      </w:r>
      <w:r w:rsidR="00D12EB6">
        <w:t>, pluralism does not treat all religious traditions as</w:t>
      </w:r>
      <w:r w:rsidR="00E20B70">
        <w:t xml:space="preserve"> “tru</w:t>
      </w:r>
      <w:r w:rsidR="0084386F">
        <w:t>e,” but as “partially true</w:t>
      </w:r>
      <w:r w:rsidR="00E20B70">
        <w:t>.</w:t>
      </w:r>
      <w:r w:rsidR="0084386F">
        <w:t>”</w:t>
      </w:r>
      <w:r w:rsidR="00D12EB6">
        <w:t xml:space="preserve">  So Christianity may be </w:t>
      </w:r>
      <w:r w:rsidR="00C30D83">
        <w:t>8</w:t>
      </w:r>
      <w:r w:rsidR="00D12EB6">
        <w:t xml:space="preserve">0% true (excluding </w:t>
      </w:r>
      <w:r w:rsidR="00DB504C">
        <w:t xml:space="preserve">theological tenets related to </w:t>
      </w:r>
      <w:r w:rsidR="00D12EB6">
        <w:t xml:space="preserve">the incarnation) and Judaism may be </w:t>
      </w:r>
      <w:r w:rsidR="00C30D83">
        <w:t>8</w:t>
      </w:r>
      <w:r w:rsidR="00F30C71">
        <w:t xml:space="preserve">0% true (excluding </w:t>
      </w:r>
      <w:r w:rsidR="00DB504C">
        <w:t>tenets related to</w:t>
      </w:r>
      <w:r w:rsidR="00D12EB6">
        <w:t xml:space="preserve"> the covenant) and Islam may be </w:t>
      </w:r>
      <w:r w:rsidR="00C30D83">
        <w:t>8</w:t>
      </w:r>
      <w:r w:rsidR="00F30C71">
        <w:t xml:space="preserve">0% true (excluding </w:t>
      </w:r>
      <w:r w:rsidR="002871DA">
        <w:t>claims</w:t>
      </w:r>
      <w:r w:rsidR="00D12EB6">
        <w:t xml:space="preserve"> about Allah being the only God).  As Gavin </w:t>
      </w:r>
      <w:proofErr w:type="spellStart"/>
      <w:r w:rsidR="00D12EB6">
        <w:t>D’Costa</w:t>
      </w:r>
      <w:proofErr w:type="spellEnd"/>
      <w:r w:rsidR="00D12EB6">
        <w:t xml:space="preserve"> notes, “Agnosticism is the inevitable trajectory of H</w:t>
      </w:r>
      <w:r w:rsidR="008B53C0">
        <w:t>ick’s flight from particularity</w:t>
      </w:r>
      <w:r w:rsidR="00D12EB6">
        <w:t>”</w:t>
      </w:r>
      <w:r w:rsidR="008B53C0">
        <w:t xml:space="preserve"> (</w:t>
      </w:r>
      <w:proofErr w:type="spellStart"/>
      <w:r w:rsidR="008B53C0">
        <w:t>D’Costa</w:t>
      </w:r>
      <w:proofErr w:type="spellEnd"/>
      <w:r w:rsidR="008B53C0">
        <w:t xml:space="preserve"> 2009: 11).</w:t>
      </w:r>
      <w:r w:rsidR="00E20B70">
        <w:t xml:space="preserve"> </w:t>
      </w:r>
      <w:r w:rsidR="008B53C0">
        <w:t xml:space="preserve"> </w:t>
      </w:r>
      <w:r w:rsidR="00A42078">
        <w:t>This</w:t>
      </w:r>
      <w:r w:rsidR="00E20B70">
        <w:t xml:space="preserve"> make</w:t>
      </w:r>
      <w:r w:rsidR="007D78E8">
        <w:t>s</w:t>
      </w:r>
      <w:r w:rsidR="00E20B70">
        <w:t xml:space="preserve"> pluralism a poor model for understanding religious difference.  </w:t>
      </w:r>
      <w:r w:rsidR="00EC3041">
        <w:t xml:space="preserve">A </w:t>
      </w:r>
      <w:r w:rsidR="00EC3041" w:rsidRPr="00B84F3B">
        <w:t>second</w:t>
      </w:r>
      <w:r w:rsidR="00EC3041">
        <w:t xml:space="preserve">, related criticism of pluralism is that it ultimately collapses into exclusivism.  While Hick denies epistemic priority to any particular religious tradition, he grants it to Kantian philosophy.  Kant becomes the </w:t>
      </w:r>
      <w:r w:rsidR="00EC3041" w:rsidRPr="002F50DE">
        <w:rPr>
          <w:i/>
        </w:rPr>
        <w:t>exclusive</w:t>
      </w:r>
      <w:r w:rsidR="00EC3041">
        <w:t xml:space="preserve"> way to make sense of religious diversity!</w:t>
      </w:r>
      <w:r w:rsidR="00355084">
        <w:t xml:space="preserve"> </w:t>
      </w:r>
    </w:p>
    <w:p w14:paraId="63584748" w14:textId="28FEDC0C" w:rsidR="00017E00" w:rsidRDefault="00FC6DBC" w:rsidP="00954503">
      <w:r>
        <w:tab/>
      </w:r>
      <w:r w:rsidR="00B84F3B">
        <w:t>4</w:t>
      </w:r>
      <w:r>
        <w:t xml:space="preserve">. Particularism—the fourth model </w:t>
      </w:r>
      <w:r w:rsidR="006E5710">
        <w:t>of</w:t>
      </w:r>
      <w:r>
        <w:t xml:space="preserve"> religious difference</w:t>
      </w:r>
      <w:r w:rsidR="00D44CA5">
        <w:t xml:space="preserve"> is particularism, which is comprised of a group of methods developed over the last 30 years, largely in reaction to </w:t>
      </w:r>
      <w:r w:rsidR="00361308">
        <w:t>exclusivism, inclusivism, and pluralism</w:t>
      </w:r>
      <w:r w:rsidR="00D44CA5">
        <w:t xml:space="preserve">.  </w:t>
      </w:r>
      <w:proofErr w:type="spellStart"/>
      <w:r w:rsidR="00D44CA5">
        <w:t>Particularists</w:t>
      </w:r>
      <w:proofErr w:type="spellEnd"/>
      <w:r w:rsidR="00D44CA5">
        <w:t xml:space="preserve"> tend to reject grand theories of religion: “</w:t>
      </w:r>
      <w:r w:rsidR="00D44CA5" w:rsidRPr="00D44CA5">
        <w:t>they assert that each religion is a distinctive, finely spun web of texts, traditions and teachers, and its internal coherence, structure and integrity must not be violated by encompassing it a</w:t>
      </w:r>
      <w:r w:rsidR="008B53C0">
        <w:t>s one more instance of Religion</w:t>
      </w:r>
      <w:r w:rsidR="00D44CA5">
        <w:t>”</w:t>
      </w:r>
      <w:r w:rsidR="008B53C0">
        <w:t xml:space="preserve"> (</w:t>
      </w:r>
      <w:proofErr w:type="spellStart"/>
      <w:r w:rsidR="008B53C0">
        <w:t>Barua</w:t>
      </w:r>
      <w:proofErr w:type="spellEnd"/>
      <w:r w:rsidR="008B53C0">
        <w:t xml:space="preserve"> 2014: 216).</w:t>
      </w:r>
      <w:r w:rsidR="003A7D06">
        <w:t xml:space="preserve"> </w:t>
      </w:r>
      <w:r w:rsidR="008B53C0">
        <w:t xml:space="preserve"> </w:t>
      </w:r>
      <w:r w:rsidR="003A7D06">
        <w:t xml:space="preserve">Comparative Theology, which is the predominant </w:t>
      </w:r>
      <w:proofErr w:type="spellStart"/>
      <w:r w:rsidR="00017E00">
        <w:t>particularist</w:t>
      </w:r>
      <w:proofErr w:type="spellEnd"/>
      <w:r w:rsidR="00017E00">
        <w:t xml:space="preserve"> approach</w:t>
      </w:r>
      <w:r w:rsidR="003A7D06">
        <w:t xml:space="preserve">, focuses on close readings of particular texts, beliefs, and practices rather than </w:t>
      </w:r>
      <w:r w:rsidR="00361308">
        <w:t>“religion” as a</w:t>
      </w:r>
      <w:r w:rsidR="00017E00">
        <w:t xml:space="preserve"> </w:t>
      </w:r>
      <w:r w:rsidR="003A7D06">
        <w:t xml:space="preserve">general </w:t>
      </w:r>
      <w:r w:rsidR="00017E00">
        <w:t>category</w:t>
      </w:r>
      <w:r w:rsidR="00361308">
        <w:t xml:space="preserve">. </w:t>
      </w:r>
      <w:r w:rsidR="00FC05E3">
        <w:t xml:space="preserve"> </w:t>
      </w:r>
      <w:r w:rsidR="00017E00">
        <w:t>The goal of comparative theology is not detached academic underst</w:t>
      </w:r>
      <w:r w:rsidR="00361308">
        <w:t xml:space="preserve">anding, but engaged </w:t>
      </w:r>
      <w:r w:rsidR="006E6999">
        <w:t>inter</w:t>
      </w:r>
      <w:r w:rsidR="00017E00">
        <w:t xml:space="preserve">religious contact, </w:t>
      </w:r>
      <w:r w:rsidR="00361308">
        <w:t>th</w:t>
      </w:r>
      <w:r w:rsidR="00F30C71">
        <w:t>rou</w:t>
      </w:r>
      <w:r w:rsidR="00361308">
        <w:t>gh which</w:t>
      </w:r>
      <w:r w:rsidR="00017E00">
        <w:t xml:space="preserve"> participants gain a better understanding of their own tradition.  As Francis Clooney describes it, </w:t>
      </w:r>
    </w:p>
    <w:p w14:paraId="638FF778" w14:textId="615305FA" w:rsidR="00D60FAC" w:rsidRDefault="00017E00" w:rsidP="00954503">
      <w:pPr>
        <w:ind w:left="720"/>
      </w:pPr>
      <w:r>
        <w:t xml:space="preserve">Comparative theology—comparative and theological beginning to end—marks acts of faith seeking understanding which are rooted in a particular faith tradition but which, from that foundation, venture into learning from one or more other faith traditions. This learning is sought for the sake of </w:t>
      </w:r>
      <w:r>
        <w:lastRenderedPageBreak/>
        <w:t>fresh theological insights that are indebted to the newly encountered tradition/</w:t>
      </w:r>
      <w:r w:rsidR="00912EAC">
        <w:t>s as well as the home tradition</w:t>
      </w:r>
      <w:r w:rsidR="008B53C0">
        <w:t xml:space="preserve"> (Clooney 2010: 10).</w:t>
      </w:r>
    </w:p>
    <w:p w14:paraId="4B71FE63" w14:textId="2E98C247" w:rsidR="001E5FA6" w:rsidRDefault="00F30C71" w:rsidP="00954503">
      <w:r>
        <w:t>So Clooney</w:t>
      </w:r>
      <w:r w:rsidR="00D432DF">
        <w:t xml:space="preserve">, who is a Jesuit scholar of Hinduism, </w:t>
      </w:r>
      <w:r w:rsidR="006415BE">
        <w:t xml:space="preserve">compares an account of the life of </w:t>
      </w:r>
      <w:proofErr w:type="spellStart"/>
      <w:r w:rsidR="006415BE">
        <w:t>Antal</w:t>
      </w:r>
      <w:proofErr w:type="spellEnd"/>
      <w:r w:rsidR="006415BE">
        <w:t xml:space="preserve">, a ninth century South Indian saint, to Ignatius’s </w:t>
      </w:r>
      <w:r w:rsidR="006415BE">
        <w:rPr>
          <w:i/>
        </w:rPr>
        <w:t>Spiritual Exercises</w:t>
      </w:r>
      <w:r w:rsidR="006415BE">
        <w:t xml:space="preserve">.  Clooney uses a particular text cited by </w:t>
      </w:r>
      <w:proofErr w:type="spellStart"/>
      <w:r w:rsidR="006415BE">
        <w:t>Antal</w:t>
      </w:r>
      <w:proofErr w:type="spellEnd"/>
      <w:r w:rsidR="006415BE">
        <w:t xml:space="preserve"> (verse 44 of </w:t>
      </w:r>
      <w:proofErr w:type="spellStart"/>
      <w:r w:rsidR="006415BE">
        <w:t>Mutal</w:t>
      </w:r>
      <w:proofErr w:type="spellEnd"/>
      <w:r w:rsidR="006415BE">
        <w:t xml:space="preserve"> </w:t>
      </w:r>
      <w:proofErr w:type="spellStart"/>
      <w:r w:rsidR="006415BE">
        <w:t>Tiruvantati</w:t>
      </w:r>
      <w:proofErr w:type="spellEnd"/>
      <w:r w:rsidR="006415BE">
        <w:t>) as a jumping off point to enter into a discus</w:t>
      </w:r>
      <w:r w:rsidR="001E5FA6">
        <w:t xml:space="preserve">sion about how God can be known.  </w:t>
      </w:r>
      <w:proofErr w:type="spellStart"/>
      <w:r w:rsidR="001E5FA6">
        <w:t>Antal</w:t>
      </w:r>
      <w:proofErr w:type="spellEnd"/>
      <w:r w:rsidR="001E5FA6">
        <w:t xml:space="preserve">, who is on her way to marry a god (Lord </w:t>
      </w:r>
      <w:proofErr w:type="spellStart"/>
      <w:r w:rsidR="001E5FA6">
        <w:t>Narayana</w:t>
      </w:r>
      <w:proofErr w:type="spellEnd"/>
      <w:r w:rsidR="001E5FA6">
        <w:t>), confronts those who doubt that a god would</w:t>
      </w:r>
      <w:r w:rsidR="00361308">
        <w:t xml:space="preserve"> approach a human in such a way.  She tells them,</w:t>
      </w:r>
      <w:r w:rsidR="001E5FA6">
        <w:t xml:space="preserve">  </w:t>
      </w:r>
      <w:r w:rsidR="006415BE">
        <w:t xml:space="preserve">  </w:t>
      </w:r>
    </w:p>
    <w:p w14:paraId="1CC7CC0C" w14:textId="6F38F2A8" w:rsidR="001E5FA6" w:rsidRDefault="001E5FA6" w:rsidP="00954503">
      <w:pPr>
        <w:ind w:left="720"/>
      </w:pPr>
      <w:r>
        <w:t>Whichever form pleases his people, that is his form</w:t>
      </w:r>
      <w:proofErr w:type="gramStart"/>
      <w:r>
        <w:t>;</w:t>
      </w:r>
      <w:proofErr w:type="gramEnd"/>
    </w:p>
    <w:p w14:paraId="37EBAF8B" w14:textId="77777777" w:rsidR="001E5FA6" w:rsidRDefault="001E5FA6" w:rsidP="00954503">
      <w:pPr>
        <w:ind w:left="720"/>
      </w:pPr>
      <w:r>
        <w:t>Whichever name pleases his people, that is his name</w:t>
      </w:r>
      <w:proofErr w:type="gramStart"/>
      <w:r>
        <w:t>;</w:t>
      </w:r>
      <w:proofErr w:type="gramEnd"/>
    </w:p>
    <w:p w14:paraId="67BA3066" w14:textId="77777777" w:rsidR="001E5FA6" w:rsidRDefault="001E5FA6" w:rsidP="00954503">
      <w:pPr>
        <w:ind w:left="720"/>
      </w:pPr>
      <w:r>
        <w:t>Whichever way pleases his people who meditate without ceasing,</w:t>
      </w:r>
    </w:p>
    <w:p w14:paraId="6CDFAF24" w14:textId="77777777" w:rsidR="001E5FA6" w:rsidRDefault="001E5FA6" w:rsidP="00954503">
      <w:pPr>
        <w:ind w:left="720"/>
      </w:pPr>
      <w:r>
        <w:t>That is his way, the one who holds the discus.</w:t>
      </w:r>
    </w:p>
    <w:p w14:paraId="25158FD6" w14:textId="2E74BD3A" w:rsidR="00D60FAC" w:rsidRDefault="001E5FA6" w:rsidP="00954503">
      <w:pPr>
        <w:ind w:left="720"/>
      </w:pPr>
      <w:r>
        <w:t>As we love God, God adjusts and comes to us accordingly; if someone loves lik</w:t>
      </w:r>
      <w:r w:rsidR="00912EAC">
        <w:t xml:space="preserve">e a bride, God comes as a groom </w:t>
      </w:r>
      <w:r w:rsidR="008B53C0">
        <w:t>(Clooney 2010: 129).</w:t>
      </w:r>
    </w:p>
    <w:p w14:paraId="18AC191B" w14:textId="77777777" w:rsidR="001E5FA6" w:rsidRDefault="001E5FA6" w:rsidP="00954503">
      <w:r>
        <w:t xml:space="preserve">For Clooney, </w:t>
      </w:r>
      <w:proofErr w:type="spellStart"/>
      <w:r>
        <w:t>Antal’s</w:t>
      </w:r>
      <w:proofErr w:type="spellEnd"/>
      <w:r>
        <w:t xml:space="preserve"> statement ultimately provides insight into Ignatius’ method in the </w:t>
      </w:r>
      <w:r>
        <w:rPr>
          <w:i/>
        </w:rPr>
        <w:t>Spiritual Exercises</w:t>
      </w:r>
      <w:r>
        <w:t xml:space="preserve">: </w:t>
      </w:r>
    </w:p>
    <w:p w14:paraId="013E5457" w14:textId="2F616309" w:rsidR="00B84F3B" w:rsidRDefault="001E5FA6" w:rsidP="00954503">
      <w:pPr>
        <w:ind w:left="720"/>
      </w:pPr>
      <w:r>
        <w:t>The meditative process is concrete and imaginative. God operates in accord with the very acts of imagining undertaken by the persons who meditate. There is a delicate and important balance between the insistence that pre-established or traditional, even scriptural images, decisively limit and focus meditation, and the insistence that we can imagine God—in all the ways one can imagine—and know, in humble awaren</w:t>
      </w:r>
      <w:r w:rsidR="00912EAC">
        <w:t>ess that God will find us there</w:t>
      </w:r>
      <w:r w:rsidR="008B53C0">
        <w:t xml:space="preserve"> (Clooney 2010: 144).</w:t>
      </w:r>
    </w:p>
    <w:p w14:paraId="3E9656C4" w14:textId="4011526E" w:rsidR="001E5FA6" w:rsidRDefault="0052142D" w:rsidP="00954503">
      <w:r>
        <w:t>I</w:t>
      </w:r>
      <w:r w:rsidR="00706227">
        <w:t>nter</w:t>
      </w:r>
      <w:r w:rsidR="00797406">
        <w:t>religious contact with Hinduism ultimately makes Clooney a better Jesuit</w:t>
      </w:r>
      <w:r w:rsidR="00194D0A">
        <w:t>.</w:t>
      </w:r>
    </w:p>
    <w:p w14:paraId="6665F37F" w14:textId="2896D4A0" w:rsidR="00797406" w:rsidRDefault="00797406" w:rsidP="00954503">
      <w:r>
        <w:tab/>
        <w:t>There is much to like about</w:t>
      </w:r>
      <w:r w:rsidR="00761304">
        <w:t xml:space="preserve"> particularism, especially its insistence</w:t>
      </w:r>
      <w:r w:rsidR="00706227">
        <w:t xml:space="preserve"> that inter</w:t>
      </w:r>
      <w:r>
        <w:t xml:space="preserve">religious dialogue </w:t>
      </w:r>
      <w:r w:rsidR="00CC7451">
        <w:t>ought to</w:t>
      </w:r>
      <w:r w:rsidR="004347B2">
        <w:t xml:space="preserve"> </w:t>
      </w:r>
      <w:r w:rsidR="004E0272">
        <w:t>reflect</w:t>
      </w:r>
      <w:r w:rsidR="00761304">
        <w:t xml:space="preserve"> the lived-experience of faith communities.</w:t>
      </w:r>
      <w:r w:rsidR="002C16E7">
        <w:t xml:space="preserve">  Yet it remains an underdetermined </w:t>
      </w:r>
      <w:r w:rsidR="004E0272">
        <w:t xml:space="preserve">model.  </w:t>
      </w:r>
      <w:proofErr w:type="spellStart"/>
      <w:r w:rsidR="004E0272">
        <w:t>Particularists</w:t>
      </w:r>
      <w:proofErr w:type="spellEnd"/>
      <w:r w:rsidR="004E0272">
        <w:t xml:space="preserve"> </w:t>
      </w:r>
      <w:r w:rsidR="002F4B03">
        <w:t xml:space="preserve">are nearly unanimous </w:t>
      </w:r>
      <w:r w:rsidR="004347B2">
        <w:t xml:space="preserve">in </w:t>
      </w:r>
      <w:r w:rsidR="00572971">
        <w:t>their rejection of</w:t>
      </w:r>
      <w:r w:rsidR="002F4B03">
        <w:t xml:space="preserve"> theories of religion</w:t>
      </w:r>
      <w:r w:rsidR="004E0272">
        <w:t xml:space="preserve">.  As Jim Fredericks claims, “Comparative theology… is a process or practice, not a theory.  </w:t>
      </w:r>
      <w:r w:rsidR="002F4B03">
        <w:t xml:space="preserve">Before Christians can fully understand themselves and the role of their religion in the history of the world’s many religions, we must first learn </w:t>
      </w:r>
      <w:r w:rsidR="002F4B03">
        <w:rPr>
          <w:i/>
        </w:rPr>
        <w:t>about</w:t>
      </w:r>
      <w:r w:rsidR="002F4B03">
        <w:t xml:space="preserve"> non-Christians”</w:t>
      </w:r>
      <w:r w:rsidR="008B53C0">
        <w:t xml:space="preserve"> (Fredericks 1999: 9).</w:t>
      </w:r>
      <w:r w:rsidR="002F4B03">
        <w:t xml:space="preserve"> </w:t>
      </w:r>
      <w:r w:rsidR="008B53C0">
        <w:t xml:space="preserve"> </w:t>
      </w:r>
      <w:r w:rsidR="002F4B03">
        <w:t xml:space="preserve">It is certainly true that grand theories of religion </w:t>
      </w:r>
      <w:r w:rsidR="00572971">
        <w:t>can be</w:t>
      </w:r>
      <w:r w:rsidR="002F4B03">
        <w:t xml:space="preserve"> pr</w:t>
      </w:r>
      <w:r w:rsidR="007E3A38">
        <w:t>ocrustean; t</w:t>
      </w:r>
      <w:r w:rsidR="006D68B5">
        <w:t>hey constrain inter</w:t>
      </w:r>
      <w:r w:rsidR="002F4B03">
        <w:t xml:space="preserve">religious dialogue or otherwise determine its outcome before it ever begins.  In that sense, </w:t>
      </w:r>
      <w:r w:rsidR="008C77E1">
        <w:t xml:space="preserve">I agree that </w:t>
      </w:r>
      <w:r w:rsidR="00572971">
        <w:t>theory is</w:t>
      </w:r>
      <w:r w:rsidR="002F4B03">
        <w:t xml:space="preserve"> methodologically suspect.  Yet </w:t>
      </w:r>
      <w:r w:rsidR="004347B2">
        <w:t xml:space="preserve">it is important to distinguish between </w:t>
      </w:r>
      <w:r w:rsidR="004347B2" w:rsidRPr="006E6999">
        <w:rPr>
          <w:i/>
        </w:rPr>
        <w:t>a priori</w:t>
      </w:r>
      <w:r w:rsidR="004347B2">
        <w:t xml:space="preserve"> theorizing—theorizing that is done before </w:t>
      </w:r>
      <w:r w:rsidR="005B380D">
        <w:t>dialogue</w:t>
      </w:r>
      <w:r w:rsidR="004347B2">
        <w:t xml:space="preserve"> begins—and theorizing that is done </w:t>
      </w:r>
      <w:r w:rsidR="004347B2" w:rsidRPr="002F4B03">
        <w:rPr>
          <w:i/>
        </w:rPr>
        <w:t>within</w:t>
      </w:r>
      <w:r w:rsidR="004347B2">
        <w:t xml:space="preserve"> the process of </w:t>
      </w:r>
      <w:r w:rsidR="00706227">
        <w:t>inter</w:t>
      </w:r>
      <w:r w:rsidR="005B380D">
        <w:t>religious dialogue</w:t>
      </w:r>
      <w:r w:rsidR="00F30C71">
        <w:t>.</w:t>
      </w:r>
      <w:r w:rsidR="00706227">
        <w:t xml:space="preserve">  After all, religious traditions themselves theorize about other religious traditions</w:t>
      </w:r>
      <w:r w:rsidR="008A2E74">
        <w:t>.</w:t>
      </w:r>
      <w:r w:rsidR="007E3A38">
        <w:t xml:space="preserve">  Religions </w:t>
      </w:r>
      <w:r w:rsidR="006E6999">
        <w:t>can be</w:t>
      </w:r>
      <w:r w:rsidR="007E3A38">
        <w:t xml:space="preserve"> interreligious</w:t>
      </w:r>
      <w:r w:rsidR="002C16E7">
        <w:t>!</w:t>
      </w:r>
      <w:r w:rsidR="008C77E1">
        <w:t xml:space="preserve">  </w:t>
      </w:r>
      <w:r w:rsidR="008A2E74">
        <w:t>Moreover</w:t>
      </w:r>
      <w:r w:rsidR="004347B2">
        <w:t>, e</w:t>
      </w:r>
      <w:r w:rsidR="008C77E1">
        <w:t xml:space="preserve">very intellectual endeavor has to confront theoretical questions about its scope and purpose.  Why, for example, is Comparative Theology something we should want to do in the first place? </w:t>
      </w:r>
      <w:r w:rsidR="00F30C71">
        <w:t xml:space="preserve"> </w:t>
      </w:r>
      <w:r w:rsidR="008C77E1">
        <w:t xml:space="preserve">What are its goals and methods? </w:t>
      </w:r>
      <w:r w:rsidR="00F30C71">
        <w:t xml:space="preserve"> </w:t>
      </w:r>
      <w:r w:rsidR="008C77E1">
        <w:t xml:space="preserve">If we take insights </w:t>
      </w:r>
      <w:r w:rsidR="005B380D">
        <w:t>from other religions and apply</w:t>
      </w:r>
      <w:r w:rsidR="008C77E1">
        <w:t xml:space="preserve"> them to our own, is that </w:t>
      </w:r>
      <w:r w:rsidR="00FE3030">
        <w:t xml:space="preserve">a </w:t>
      </w:r>
      <w:r w:rsidR="008C77E1">
        <w:t>form of intellectual colonialism</w:t>
      </w:r>
      <w:r w:rsidR="00572971">
        <w:t xml:space="preserve"> or another manifestation of inclusivism</w:t>
      </w:r>
      <w:r w:rsidR="008C77E1">
        <w:t>?</w:t>
      </w:r>
      <w:r w:rsidR="004347B2" w:rsidRPr="004347B2">
        <w:t xml:space="preserve"> </w:t>
      </w:r>
      <w:r w:rsidR="00E30E40">
        <w:t xml:space="preserve"> </w:t>
      </w:r>
      <w:r w:rsidR="00FE3030">
        <w:t>Most im</w:t>
      </w:r>
      <w:r w:rsidR="006E6999">
        <w:t>portantly</w:t>
      </w:r>
      <w:r w:rsidR="00FE3030">
        <w:t xml:space="preserve">, Comparative Theology does not address the underlying question about conflicting truth claims: </w:t>
      </w:r>
      <w:r w:rsidR="004347B2">
        <w:t xml:space="preserve">If Clooney learns something about his own tradition from Hinduism, what does that imply about the “truth” of </w:t>
      </w:r>
      <w:r w:rsidR="004347B2">
        <w:lastRenderedPageBreak/>
        <w:t>Hinduism?</w:t>
      </w:r>
      <w:r w:rsidR="005B380D">
        <w:t xml:space="preserve">  In rejecting “theory,” comparative theology risks losing </w:t>
      </w:r>
      <w:r w:rsidR="00572971">
        <w:t>the</w:t>
      </w:r>
      <w:r w:rsidR="005B380D">
        <w:t xml:space="preserve"> ability to answer</w:t>
      </w:r>
      <w:r w:rsidR="00572971">
        <w:t xml:space="preserve"> </w:t>
      </w:r>
      <w:r w:rsidR="00F30C71">
        <w:t xml:space="preserve">critically </w:t>
      </w:r>
      <w:r w:rsidR="00572971">
        <w:t xml:space="preserve">important </w:t>
      </w:r>
      <w:r w:rsidR="005B380D">
        <w:t>theoretical questions.</w:t>
      </w:r>
      <w:r w:rsidR="006D68B5">
        <w:t xml:space="preserve">  </w:t>
      </w:r>
    </w:p>
    <w:p w14:paraId="4FECEA5B" w14:textId="234D977B" w:rsidR="00DE6FC3" w:rsidRDefault="00FE3030" w:rsidP="00954503">
      <w:r>
        <w:tab/>
        <w:t>The four models</w:t>
      </w:r>
      <w:r w:rsidR="00B84F3B">
        <w:t xml:space="preserve"> of religious difference that I have</w:t>
      </w:r>
      <w:r>
        <w:t xml:space="preserve"> surveyed—exclusivism, inclusivism, pluralism, and particularism—are all insufficient ways of f</w:t>
      </w:r>
      <w:r w:rsidR="000E1164">
        <w:t>raming inter-religious dial</w:t>
      </w:r>
      <w:r w:rsidR="00191F81">
        <w:t xml:space="preserve">ogue, but their failures serve as </w:t>
      </w:r>
      <w:r w:rsidR="006E6999">
        <w:t xml:space="preserve">useful </w:t>
      </w:r>
      <w:r w:rsidR="00191F81">
        <w:t xml:space="preserve">guidelines.  If interreligious dialogue is possible at </w:t>
      </w:r>
      <w:r w:rsidR="00411CEB">
        <w:t>all, we now know something about its formal characteristics</w:t>
      </w:r>
      <w:r w:rsidR="000E1164">
        <w:t>.</w:t>
      </w:r>
      <w:r w:rsidR="00221B18">
        <w:t xml:space="preserve">  </w:t>
      </w:r>
      <w:r w:rsidR="00191F81">
        <w:t xml:space="preserve">First, </w:t>
      </w:r>
      <w:r w:rsidR="00221B18">
        <w:t xml:space="preserve">pluralism is </w:t>
      </w:r>
      <w:r w:rsidR="009C3AAD">
        <w:t xml:space="preserve">a </w:t>
      </w:r>
      <w:r w:rsidR="00221B18">
        <w:t xml:space="preserve">questionable </w:t>
      </w:r>
      <w:r w:rsidR="00191F81">
        <w:t xml:space="preserve">model </w:t>
      </w:r>
      <w:r w:rsidR="00221B18">
        <w:t xml:space="preserve">because it requires agnosticism as the price of admission.  Correcting this error will mean </w:t>
      </w:r>
      <w:r w:rsidR="00411CEB">
        <w:t xml:space="preserve">that </w:t>
      </w:r>
      <w:r w:rsidR="00221B18">
        <w:t xml:space="preserve">we have to figure out a way for participants in </w:t>
      </w:r>
      <w:r w:rsidR="006D68B5">
        <w:t>inter</w:t>
      </w:r>
      <w:r w:rsidR="000E1164">
        <w:t xml:space="preserve">religious dialogue </w:t>
      </w:r>
      <w:r w:rsidR="00221B18">
        <w:t xml:space="preserve">to </w:t>
      </w:r>
      <w:r w:rsidR="000E1164">
        <w:t>maintain</w:t>
      </w:r>
      <w:r w:rsidR="00221B18">
        <w:t xml:space="preserve"> </w:t>
      </w:r>
      <w:r w:rsidR="009C3AAD">
        <w:t xml:space="preserve">a </w:t>
      </w:r>
      <w:r w:rsidR="000E1164">
        <w:t>commitment to their own tradition</w:t>
      </w:r>
      <w:r w:rsidR="00221B18">
        <w:t xml:space="preserve">.  </w:t>
      </w:r>
      <w:r w:rsidR="00191F81">
        <w:t>Second</w:t>
      </w:r>
      <w:r w:rsidR="00221B18">
        <w:t xml:space="preserve">—contrary to </w:t>
      </w:r>
      <w:proofErr w:type="spellStart"/>
      <w:r w:rsidR="00221B18">
        <w:t>inclusivist</w:t>
      </w:r>
      <w:proofErr w:type="spellEnd"/>
      <w:r w:rsidR="00221B18">
        <w:t xml:space="preserve"> and exclusivist models—</w:t>
      </w:r>
      <w:r w:rsidR="00191F81">
        <w:t>w</w:t>
      </w:r>
      <w:r w:rsidR="00B84F3B">
        <w:t>e</w:t>
      </w:r>
      <w:r w:rsidR="00191F81">
        <w:t xml:space="preserve"> </w:t>
      </w:r>
      <w:r w:rsidR="00221B18">
        <w:t xml:space="preserve">have to figure out </w:t>
      </w:r>
      <w:r w:rsidR="009C3AAD">
        <w:t xml:space="preserve">a way </w:t>
      </w:r>
      <w:r w:rsidR="00191F81">
        <w:t>for genuine</w:t>
      </w:r>
      <w:r w:rsidR="00221B18">
        <w:t xml:space="preserve"> religious commitment</w:t>
      </w:r>
      <w:r w:rsidR="00191F81">
        <w:t xml:space="preserve"> to exist</w:t>
      </w:r>
      <w:r w:rsidR="00221B18">
        <w:t xml:space="preserve"> </w:t>
      </w:r>
      <w:r w:rsidR="00191F81">
        <w:t>alongside genuine openness</w:t>
      </w:r>
      <w:r w:rsidR="00221B18">
        <w:t xml:space="preserve"> to other traditions.  </w:t>
      </w:r>
      <w:r w:rsidR="00B84F3B">
        <w:t xml:space="preserve">In essence, we </w:t>
      </w:r>
      <w:r w:rsidR="00191F81">
        <w:t>have to rethink</w:t>
      </w:r>
      <w:r w:rsidR="00B84F3B">
        <w:t xml:space="preserve"> how truth</w:t>
      </w:r>
      <w:r w:rsidR="00221B18">
        <w:t xml:space="preserve"> works</w:t>
      </w:r>
      <w:r w:rsidR="00191F81">
        <w:t>, which will m</w:t>
      </w:r>
      <w:r w:rsidR="00B84F3B">
        <w:t>ean some heavy theoretical work (</w:t>
      </w:r>
      <w:r w:rsidR="00B84F3B" w:rsidRPr="006E6999">
        <w:rPr>
          <w:i/>
        </w:rPr>
        <w:t>contra</w:t>
      </w:r>
      <w:r w:rsidR="00B84F3B">
        <w:t xml:space="preserve"> particularism).</w:t>
      </w:r>
      <w:r w:rsidR="00191F81">
        <w:t xml:space="preserve">  Third,</w:t>
      </w:r>
      <w:r w:rsidR="00B84F3B">
        <w:t xml:space="preserve"> o</w:t>
      </w:r>
      <w:r w:rsidR="00191F81">
        <w:t xml:space="preserve">ur theoretical work must be rooted in </w:t>
      </w:r>
      <w:r w:rsidR="009C3AAD">
        <w:t>religious traditions themselves.  That</w:t>
      </w:r>
      <w:r w:rsidR="006D68B5">
        <w:t xml:space="preserve"> is to say, our model for inter</w:t>
      </w:r>
      <w:r w:rsidR="009C3AAD">
        <w:t>religious dialogue must be drawn from the religions participatin</w:t>
      </w:r>
      <w:r w:rsidR="006D68B5">
        <w:t xml:space="preserve">g in </w:t>
      </w:r>
      <w:r w:rsidR="006E6999">
        <w:t>dialogue</w:t>
      </w:r>
      <w:r w:rsidR="00B84F3B">
        <w:t xml:space="preserve"> rather than</w:t>
      </w:r>
      <w:r w:rsidR="006E6999">
        <w:t>, say,</w:t>
      </w:r>
      <w:r w:rsidR="00B84F3B">
        <w:t xml:space="preserve"> </w:t>
      </w:r>
      <w:r w:rsidR="009C3AAD">
        <w:t>Kantian philosophy.  With these “guidelines” in mind, I want to look</w:t>
      </w:r>
      <w:r w:rsidR="0073405E">
        <w:t xml:space="preserve"> briefly</w:t>
      </w:r>
      <w:r w:rsidR="009C3AAD">
        <w:t xml:space="preserve"> at three sources from the Abrahamic religions </w:t>
      </w:r>
      <w:r w:rsidR="006D68B5">
        <w:t xml:space="preserve">that can </w:t>
      </w:r>
      <w:r w:rsidR="009C3AAD">
        <w:t xml:space="preserve">help us </w:t>
      </w:r>
      <w:r w:rsidR="00411CEB">
        <w:t xml:space="preserve">to </w:t>
      </w:r>
      <w:r w:rsidR="009C3AAD">
        <w:t>g</w:t>
      </w:r>
      <w:r w:rsidR="008A2E74">
        <w:t>enerate a better model of inter</w:t>
      </w:r>
      <w:r w:rsidR="009C3AAD">
        <w:t xml:space="preserve">religious </w:t>
      </w:r>
      <w:r w:rsidR="008906B3">
        <w:t>dialog</w:t>
      </w:r>
      <w:r w:rsidR="009C3AAD">
        <w:t>.</w:t>
      </w:r>
    </w:p>
    <w:p w14:paraId="3D67D950" w14:textId="77777777" w:rsidR="008B53C0" w:rsidRDefault="008B53C0" w:rsidP="00954503"/>
    <w:p w14:paraId="5408AE13" w14:textId="77777777" w:rsidR="008B53C0" w:rsidRPr="00954503" w:rsidRDefault="008B53C0" w:rsidP="00954503"/>
    <w:p w14:paraId="0C83CCD7" w14:textId="36232662" w:rsidR="008906B3" w:rsidRDefault="008906B3" w:rsidP="00954503">
      <w:r>
        <w:rPr>
          <w:i/>
        </w:rPr>
        <w:t>II. The Gospel of John among Rabbis and Sufis</w:t>
      </w:r>
      <w:r>
        <w:t>.</w:t>
      </w:r>
      <w:r w:rsidR="009C3AAD">
        <w:tab/>
      </w:r>
    </w:p>
    <w:p w14:paraId="28167E3A" w14:textId="77777777" w:rsidR="008906B3" w:rsidRDefault="008906B3" w:rsidP="00954503"/>
    <w:p w14:paraId="65E56DA4" w14:textId="7575FE50" w:rsidR="00464F86" w:rsidRDefault="00464F86" w:rsidP="00954503">
      <w:pPr>
        <w:ind w:firstLine="720"/>
      </w:pPr>
      <w:r>
        <w:t>I</w:t>
      </w:r>
      <w:r w:rsidR="009C3AAD">
        <w:t xml:space="preserve">n </w:t>
      </w:r>
      <w:r w:rsidR="003B5326">
        <w:t xml:space="preserve">the </w:t>
      </w:r>
      <w:r w:rsidR="009C3AAD">
        <w:t>Christian</w:t>
      </w:r>
      <w:r w:rsidR="003B5326">
        <w:t xml:space="preserve"> tradition</w:t>
      </w:r>
      <w:r w:rsidR="009C3AAD">
        <w:t xml:space="preserve">, the </w:t>
      </w:r>
      <w:r w:rsidR="003B5326">
        <w:t xml:space="preserve">issue of “truth” (what counts as truth?  How do we know the truth?) </w:t>
      </w:r>
      <w:proofErr w:type="gramStart"/>
      <w:r w:rsidR="003B5326">
        <w:t>is</w:t>
      </w:r>
      <w:proofErr w:type="gramEnd"/>
      <w:r w:rsidR="003B5326">
        <w:t xml:space="preserve"> raised ex</w:t>
      </w:r>
      <w:r w:rsidR="00F279EA">
        <w:t>plicitly in the Gospel of John.</w:t>
      </w:r>
      <w:r w:rsidR="00F279EA">
        <w:rPr>
          <w:rStyle w:val="FootnoteReference"/>
        </w:rPr>
        <w:footnoteReference w:id="4"/>
      </w:r>
      <w:r w:rsidR="00F56EB6">
        <w:t xml:space="preserve">  John </w:t>
      </w:r>
      <w:r w:rsidR="00411CEB">
        <w:t xml:space="preserve">is </w:t>
      </w:r>
      <w:r w:rsidR="00F56EB6">
        <w:t>clear about what truth is and how we know it.  In chapter 14, for example, in a discussion about how Jesus’ followers might gain knowledge of God, Jesus says, “</w:t>
      </w:r>
      <w:r w:rsidR="00F56EB6" w:rsidRPr="00F56EB6">
        <w:t>I am the way, and the truth, and the life. No one comes to</w:t>
      </w:r>
      <w:r w:rsidR="00F56EB6">
        <w:t xml:space="preserve"> the Father except through me.</w:t>
      </w:r>
      <w:r w:rsidR="00F56EB6" w:rsidRPr="00F56EB6">
        <w:t xml:space="preserve"> If you had known me, you wou</w:t>
      </w:r>
      <w:r w:rsidR="00F56EB6">
        <w:t>ld have known my Father also.</w:t>
      </w:r>
      <w:r w:rsidR="00F56EB6" w:rsidRPr="00F56EB6">
        <w:t xml:space="preserve"> </w:t>
      </w:r>
      <w:r w:rsidR="00F56EB6">
        <w:t xml:space="preserve"> </w:t>
      </w:r>
      <w:r w:rsidR="00F56EB6" w:rsidRPr="00F56EB6">
        <w:t>From now on you do know him and have seen him</w:t>
      </w:r>
      <w:r w:rsidR="00F56EB6">
        <w:t xml:space="preserve">” (14:6-7).  </w:t>
      </w:r>
      <w:r w:rsidR="00F279EA">
        <w:t>T</w:t>
      </w:r>
      <w:r w:rsidR="00F56EB6">
        <w:t xml:space="preserve">his </w:t>
      </w:r>
      <w:r w:rsidR="00F279EA">
        <w:t>passage</w:t>
      </w:r>
      <w:r w:rsidR="00F56EB6">
        <w:t xml:space="preserve"> confirms what the Gospel announces over and over again: Jesus is the </w:t>
      </w:r>
      <w:r w:rsidR="00F56EB6" w:rsidRPr="00411CEB">
        <w:rPr>
          <w:i/>
        </w:rPr>
        <w:t>Logos</w:t>
      </w:r>
      <w:r w:rsidR="00F56EB6">
        <w:t xml:space="preserve"> incarnate.  To know t</w:t>
      </w:r>
      <w:r w:rsidR="00251AF8">
        <w:t>he truth is to know Jesus.  T</w:t>
      </w:r>
      <w:r w:rsidR="00F56EB6">
        <w:t>his is not a propositional sort of kn</w:t>
      </w:r>
      <w:r w:rsidR="00251AF8">
        <w:t xml:space="preserve">owledge, but knowledge based on </w:t>
      </w:r>
      <w:r w:rsidR="00F56EB6">
        <w:t>relationship</w:t>
      </w:r>
      <w:r w:rsidR="00CD6CF3">
        <w:t xml:space="preserve"> and prior acquaintance</w:t>
      </w:r>
      <w:r w:rsidR="00F279EA">
        <w:t>.</w:t>
      </w:r>
      <w:r w:rsidR="00CD6CF3">
        <w:t xml:space="preserve">  This ought to give us pause.  What does it mean to say that a person is the truth?  We can intuitively understand </w:t>
      </w:r>
      <w:r w:rsidR="00CB261F">
        <w:t xml:space="preserve">the “truth” of </w:t>
      </w:r>
      <w:r w:rsidR="00CD6CF3">
        <w:t>a claim like “George Washington was the first</w:t>
      </w:r>
      <w:r w:rsidR="00CB261F">
        <w:t xml:space="preserve"> president of the United States</w:t>
      </w:r>
      <w:r w:rsidR="00CD6CF3">
        <w:t>”</w:t>
      </w:r>
      <w:r w:rsidR="00CB261F">
        <w:t>; it s</w:t>
      </w:r>
      <w:r w:rsidR="00DF2DA9">
        <w:t>ays</w:t>
      </w:r>
      <w:r w:rsidR="00CB261F">
        <w:t xml:space="preserve"> something about reality.  I</w:t>
      </w:r>
      <w:r w:rsidR="00CD6CF3">
        <w:t>t is much more difficult to understand a claim like, “</w:t>
      </w:r>
      <w:r w:rsidR="002C6F79">
        <w:t>Jesus</w:t>
      </w:r>
      <w:r w:rsidR="00CD6CF3">
        <w:t xml:space="preserve"> is the truth.”</w:t>
      </w:r>
      <w:r w:rsidR="002C6F79">
        <w:t xml:space="preserve">  </w:t>
      </w:r>
      <w:r w:rsidR="00DF2DA9">
        <w:t>Moreover,</w:t>
      </w:r>
      <w:r w:rsidR="002C6F79">
        <w:t xml:space="preserve"> if truth hinges on encountering a </w:t>
      </w:r>
      <w:r w:rsidR="00CB261F">
        <w:t xml:space="preserve">particular </w:t>
      </w:r>
      <w:r w:rsidR="002C6F79">
        <w:t>person, how are we supposed to know the truth 2,000 years after that person die</w:t>
      </w:r>
      <w:r w:rsidR="00F279EA">
        <w:t>s</w:t>
      </w:r>
      <w:r w:rsidR="002C6F79">
        <w:t>?</w:t>
      </w:r>
      <w:r w:rsidR="00251AF8">
        <w:t xml:space="preserve">  Fortunately</w:t>
      </w:r>
      <w:r w:rsidR="00CD6CF3">
        <w:t>, the Gospel o</w:t>
      </w:r>
      <w:r w:rsidR="00C13FD7">
        <w:t>f John does</w:t>
      </w:r>
      <w:r w:rsidR="00411CEB">
        <w:t xml:space="preserve"> no</w:t>
      </w:r>
      <w:r w:rsidR="0052142D">
        <w:t>t leave us hanging</w:t>
      </w:r>
      <w:r w:rsidR="00194D0A">
        <w:t xml:space="preserve">: </w:t>
      </w:r>
      <w:r w:rsidR="00A65DA0">
        <w:t>t</w:t>
      </w:r>
      <w:r w:rsidR="00C13FD7">
        <w:t xml:space="preserve">he entire text can be read as a meditation on how truth is manifest in the world and how it can be recognized.  John’s </w:t>
      </w:r>
      <w:r w:rsidR="00C13FD7">
        <w:lastRenderedPageBreak/>
        <w:t>treatment of “signs” (</w:t>
      </w:r>
      <w:proofErr w:type="spellStart"/>
      <w:r w:rsidR="0053259F" w:rsidRPr="0053259F">
        <w:t>σημεῖ</w:t>
      </w:r>
      <w:proofErr w:type="spellEnd"/>
      <w:r w:rsidR="0053259F" w:rsidRPr="0053259F">
        <w:t>α</w:t>
      </w:r>
      <w:r w:rsidR="00C13FD7">
        <w:t>) and “recognition”</w:t>
      </w:r>
      <w:r w:rsidR="007319DC">
        <w:t xml:space="preserve"> (</w:t>
      </w:r>
      <w:proofErr w:type="spellStart"/>
      <w:r w:rsidR="007319DC" w:rsidRPr="004A4A2F">
        <w:t>ἀν</w:t>
      </w:r>
      <w:proofErr w:type="spellEnd"/>
      <w:r w:rsidR="007319DC" w:rsidRPr="004A4A2F">
        <w:t>α</w:t>
      </w:r>
      <w:proofErr w:type="spellStart"/>
      <w:r w:rsidR="007319DC" w:rsidRPr="004A4A2F">
        <w:t>γνώρισις</w:t>
      </w:r>
      <w:proofErr w:type="spellEnd"/>
      <w:r w:rsidR="007319DC">
        <w:t>)</w:t>
      </w:r>
      <w:r w:rsidR="00C13FD7">
        <w:t xml:space="preserve"> is particularly instructive</w:t>
      </w:r>
      <w:r w:rsidR="00F279EA">
        <w:t>.</w:t>
      </w:r>
      <w:r w:rsidR="00A65DA0">
        <w:rPr>
          <w:rStyle w:val="FootnoteReference"/>
        </w:rPr>
        <w:footnoteReference w:id="5"/>
      </w:r>
      <w:r w:rsidR="00C13FD7">
        <w:t xml:space="preserve">  </w:t>
      </w:r>
      <w:r w:rsidR="00CD6CF3">
        <w:t xml:space="preserve">  </w:t>
      </w:r>
    </w:p>
    <w:p w14:paraId="70790FB1" w14:textId="52F23947" w:rsidR="00464F86" w:rsidRDefault="00464F86" w:rsidP="00954503">
      <w:pPr>
        <w:ind w:firstLine="720"/>
      </w:pPr>
      <w:r>
        <w:t xml:space="preserve">John </w:t>
      </w:r>
      <w:r w:rsidR="00C13FD7">
        <w:t xml:space="preserve">repeatedly </w:t>
      </w:r>
      <w:r>
        <w:t>em</w:t>
      </w:r>
      <w:r w:rsidR="007319DC">
        <w:t xml:space="preserve">ploys </w:t>
      </w:r>
      <w:r w:rsidR="00DB504C">
        <w:t>recognition scenes</w:t>
      </w:r>
      <w:r>
        <w:t>—</w:t>
      </w:r>
      <w:r w:rsidR="00DB504C">
        <w:t xml:space="preserve">as </w:t>
      </w:r>
      <w:r>
        <w:t>a sort of “micro-genre”—wherein various characters progress from ignorance to knowledge of Jesus’ true identity.</w:t>
      </w:r>
      <w:r>
        <w:rPr>
          <w:rStyle w:val="FootnoteReference"/>
        </w:rPr>
        <w:footnoteReference w:id="6"/>
      </w:r>
      <w:r w:rsidR="00EE5DAB">
        <w:t xml:space="preserve">  Many of these scenes are clustered around miraculous events called “</w:t>
      </w:r>
      <w:r>
        <w:t>signs</w:t>
      </w:r>
      <w:r w:rsidR="00EE5DAB">
        <w:t xml:space="preserve">,” of which we </w:t>
      </w:r>
      <w:r w:rsidR="007319DC">
        <w:t>can</w:t>
      </w:r>
      <w:r w:rsidR="00EE5DAB">
        <w:t xml:space="preserve"> identify eight: </w:t>
      </w:r>
    </w:p>
    <w:p w14:paraId="6F5BFBC0" w14:textId="77777777" w:rsidR="00464F86" w:rsidRDefault="00464F86" w:rsidP="00954503">
      <w:pPr>
        <w:pStyle w:val="ListParagraph"/>
        <w:numPr>
          <w:ilvl w:val="0"/>
          <w:numId w:val="3"/>
        </w:numPr>
      </w:pPr>
      <w:r>
        <w:t>The wedding at Cana (2:1-11)</w:t>
      </w:r>
    </w:p>
    <w:p w14:paraId="36D5D7BB" w14:textId="77777777" w:rsidR="00464F86" w:rsidRDefault="00464F86" w:rsidP="00954503">
      <w:pPr>
        <w:pStyle w:val="ListParagraph"/>
        <w:numPr>
          <w:ilvl w:val="0"/>
          <w:numId w:val="3"/>
        </w:numPr>
      </w:pPr>
      <w:r>
        <w:t>The healing of the official’s son (4:46-54)</w:t>
      </w:r>
    </w:p>
    <w:p w14:paraId="44C1F8D3" w14:textId="77777777" w:rsidR="00464F86" w:rsidRDefault="00464F86" w:rsidP="00954503">
      <w:pPr>
        <w:pStyle w:val="ListParagraph"/>
        <w:numPr>
          <w:ilvl w:val="0"/>
          <w:numId w:val="3"/>
        </w:numPr>
      </w:pPr>
      <w:r>
        <w:t>The healing of the man at the pool of Bethesda (5:1-18)</w:t>
      </w:r>
    </w:p>
    <w:p w14:paraId="607392F6" w14:textId="77777777" w:rsidR="00464F86" w:rsidRDefault="00464F86" w:rsidP="00954503">
      <w:pPr>
        <w:pStyle w:val="ListParagraph"/>
        <w:numPr>
          <w:ilvl w:val="0"/>
          <w:numId w:val="3"/>
        </w:numPr>
      </w:pPr>
      <w:r>
        <w:t>The feeding of the five thousand (6:1-15)</w:t>
      </w:r>
    </w:p>
    <w:p w14:paraId="4CD9DF2D" w14:textId="77777777" w:rsidR="00464F86" w:rsidRDefault="00464F86" w:rsidP="00954503">
      <w:pPr>
        <w:pStyle w:val="ListParagraph"/>
        <w:numPr>
          <w:ilvl w:val="0"/>
          <w:numId w:val="3"/>
        </w:numPr>
      </w:pPr>
      <w:r>
        <w:t>Jesus walking on water (6:16-21)</w:t>
      </w:r>
    </w:p>
    <w:p w14:paraId="5D53AC32" w14:textId="77777777" w:rsidR="00464F86" w:rsidRDefault="00464F86" w:rsidP="00954503">
      <w:pPr>
        <w:pStyle w:val="ListParagraph"/>
        <w:numPr>
          <w:ilvl w:val="0"/>
          <w:numId w:val="3"/>
        </w:numPr>
      </w:pPr>
      <w:r>
        <w:t>The healing of the blind man (9:1-12)</w:t>
      </w:r>
    </w:p>
    <w:p w14:paraId="6E01D4C0" w14:textId="77777777" w:rsidR="00464F86" w:rsidRDefault="00464F86" w:rsidP="00954503">
      <w:pPr>
        <w:pStyle w:val="ListParagraph"/>
        <w:numPr>
          <w:ilvl w:val="0"/>
          <w:numId w:val="3"/>
        </w:numPr>
      </w:pPr>
      <w:r>
        <w:t>The raising of Lazarus (11:28-44)</w:t>
      </w:r>
    </w:p>
    <w:p w14:paraId="0F47E192" w14:textId="2D00C1D2" w:rsidR="00464F86" w:rsidRDefault="00464F86" w:rsidP="000A79DF">
      <w:pPr>
        <w:pStyle w:val="ListParagraph"/>
        <w:numPr>
          <w:ilvl w:val="0"/>
          <w:numId w:val="3"/>
        </w:numPr>
      </w:pPr>
      <w:r>
        <w:t>The miraculous catch of fish (21:1-14)</w:t>
      </w:r>
    </w:p>
    <w:p w14:paraId="53A549A5" w14:textId="421EEE2A" w:rsidR="00464F86" w:rsidRDefault="008906B3" w:rsidP="00954503">
      <w:r>
        <w:t>I</w:t>
      </w:r>
      <w:r w:rsidR="00464F86">
        <w:t>t is important to note the shifting relationship between signs and recognition over the course of the narrative.  The first sign, where Jesus turns water to wine (2:1-11), ends with a summary statement about the role of signs in the process of recognition: “Jesus did this, the first of his signs, in Cana of Galilee, and revealed his glory (</w:t>
      </w:r>
      <w:proofErr w:type="spellStart"/>
      <w:r w:rsidR="00464F86" w:rsidRPr="001D7554">
        <w:t>δόξ</w:t>
      </w:r>
      <w:proofErr w:type="spellEnd"/>
      <w:r w:rsidR="00464F86" w:rsidRPr="001D7554">
        <w:t>α</w:t>
      </w:r>
      <w:r w:rsidR="00464F86">
        <w:t xml:space="preserve">); and his disciples believed in him.”  This suggests that the signs serve as </w:t>
      </w:r>
      <w:r w:rsidR="00EA6FEC">
        <w:t>“tokens</w:t>
      </w:r>
      <w:proofErr w:type="gramStart"/>
      <w:r w:rsidR="00EA6FEC">
        <w:t>”</w:t>
      </w:r>
      <w:proofErr w:type="gramEnd"/>
      <w:r w:rsidR="00464F86">
        <w:t xml:space="preserve"> meant to reveal Jesus’ glory</w:t>
      </w:r>
      <w:r w:rsidR="000A79DF">
        <w:t xml:space="preserve"> (Culpepper 2008: 253).</w:t>
      </w:r>
      <w:r w:rsidR="00464F86">
        <w:t xml:space="preserve"> </w:t>
      </w:r>
      <w:r w:rsidR="000A79DF">
        <w:t xml:space="preserve"> </w:t>
      </w:r>
      <w:r w:rsidR="00464F86">
        <w:t xml:space="preserve">In this case, the “token” confirms what the reader knows from the prologue (1:1-18): Jesus is the divine </w:t>
      </w:r>
      <w:r w:rsidR="00464F86">
        <w:rPr>
          <w:i/>
        </w:rPr>
        <w:t>Logos</w:t>
      </w:r>
      <w:r w:rsidR="00464F86">
        <w:t>, active in the event of creation, and therefore has authority (</w:t>
      </w:r>
      <w:proofErr w:type="spellStart"/>
      <w:r w:rsidR="00464F86" w:rsidRPr="00EC45FC">
        <w:t>ἐξουσίᾳ</w:t>
      </w:r>
      <w:proofErr w:type="spellEnd"/>
      <w:r w:rsidR="00464F86">
        <w:t xml:space="preserve">) over the elements of creation—water, in this instance.  It also leads to recognition on the part of the disciples, though the reader is not told what the disciples recognize about Jesus.  More broadly, the “sign” functions here as we might expect; it </w:t>
      </w:r>
      <w:r w:rsidR="0048679C">
        <w:t xml:space="preserve">serves </w:t>
      </w:r>
      <w:r w:rsidR="007F1BBF">
        <w:t>as a “</w:t>
      </w:r>
      <w:r w:rsidR="00EA330F">
        <w:t>representation</w:t>
      </w:r>
      <w:r w:rsidR="007F1BBF">
        <w:t xml:space="preserve">” of what truly </w:t>
      </w:r>
      <w:r w:rsidR="007F1BBF" w:rsidRPr="007F1BBF">
        <w:rPr>
          <w:i/>
        </w:rPr>
        <w:t>is</w:t>
      </w:r>
      <w:r w:rsidR="00F279EA">
        <w:t xml:space="preserve">. </w:t>
      </w:r>
      <w:r w:rsidR="00EA330F">
        <w:t xml:space="preserve"> </w:t>
      </w:r>
      <w:r w:rsidR="00F279EA">
        <w:t xml:space="preserve">This </w:t>
      </w:r>
      <w:r w:rsidR="00A52EA6">
        <w:t>seems</w:t>
      </w:r>
      <w:r w:rsidR="00F279EA">
        <w:t xml:space="preserve"> </w:t>
      </w:r>
      <w:r w:rsidR="0048679C">
        <w:t xml:space="preserve">fairly </w:t>
      </w:r>
      <w:r w:rsidR="00F279EA">
        <w:t>straightforward.</w:t>
      </w:r>
      <w:r w:rsidR="007F1BBF">
        <w:t xml:space="preserve">  Truth </w:t>
      </w:r>
      <w:r w:rsidR="00DF2DA9">
        <w:t xml:space="preserve">functions as an agreement between the representation in thought </w:t>
      </w:r>
      <w:r w:rsidR="0052142D">
        <w:t xml:space="preserve">(or speech) </w:t>
      </w:r>
      <w:r w:rsidR="00DF2DA9">
        <w:t>and the thing itself</w:t>
      </w:r>
      <w:r w:rsidR="002D73BB">
        <w:t>—</w:t>
      </w:r>
      <w:r w:rsidR="00D8232B">
        <w:t>“</w:t>
      </w:r>
      <w:proofErr w:type="spellStart"/>
      <w:r w:rsidR="002D73BB">
        <w:rPr>
          <w:i/>
        </w:rPr>
        <w:t>Veritas</w:t>
      </w:r>
      <w:proofErr w:type="spellEnd"/>
      <w:r w:rsidR="002D73BB">
        <w:rPr>
          <w:i/>
        </w:rPr>
        <w:t xml:space="preserve"> </w:t>
      </w:r>
      <w:proofErr w:type="spellStart"/>
      <w:proofErr w:type="gramStart"/>
      <w:r w:rsidR="002D73BB">
        <w:rPr>
          <w:i/>
        </w:rPr>
        <w:t>est</w:t>
      </w:r>
      <w:proofErr w:type="spellEnd"/>
      <w:proofErr w:type="gramEnd"/>
      <w:r w:rsidR="002D73BB">
        <w:rPr>
          <w:i/>
        </w:rPr>
        <w:t xml:space="preserve"> </w:t>
      </w:r>
      <w:proofErr w:type="spellStart"/>
      <w:r w:rsidR="002D73BB">
        <w:rPr>
          <w:i/>
        </w:rPr>
        <w:t>adaequatio</w:t>
      </w:r>
      <w:proofErr w:type="spellEnd"/>
      <w:r w:rsidR="002D73BB">
        <w:rPr>
          <w:i/>
        </w:rPr>
        <w:t xml:space="preserve"> </w:t>
      </w:r>
      <w:proofErr w:type="spellStart"/>
      <w:r w:rsidR="002D73BB">
        <w:rPr>
          <w:i/>
        </w:rPr>
        <w:t>intellectus</w:t>
      </w:r>
      <w:proofErr w:type="spellEnd"/>
      <w:r w:rsidR="002D73BB">
        <w:rPr>
          <w:i/>
        </w:rPr>
        <w:t xml:space="preserve"> et </w:t>
      </w:r>
      <w:proofErr w:type="spellStart"/>
      <w:r w:rsidR="002D73BB">
        <w:rPr>
          <w:i/>
        </w:rPr>
        <w:t>rei</w:t>
      </w:r>
      <w:proofErr w:type="spellEnd"/>
      <w:r w:rsidR="00D8232B">
        <w:t>”</w:t>
      </w:r>
      <w:r w:rsidR="000A79DF">
        <w:t xml:space="preserve"> </w:t>
      </w:r>
      <w:r w:rsidR="000A79DF" w:rsidRPr="0005744D">
        <w:t>(Aquinas</w:t>
      </w:r>
      <w:r w:rsidR="0005744D" w:rsidRPr="0005744D">
        <w:t xml:space="preserve">, </w:t>
      </w:r>
      <w:proofErr w:type="spellStart"/>
      <w:r w:rsidR="0005744D" w:rsidRPr="0005744D">
        <w:rPr>
          <w:i/>
        </w:rPr>
        <w:t>Quaestiones</w:t>
      </w:r>
      <w:proofErr w:type="spellEnd"/>
      <w:r w:rsidR="0005744D" w:rsidRPr="0005744D">
        <w:rPr>
          <w:i/>
        </w:rPr>
        <w:t xml:space="preserve"> </w:t>
      </w:r>
      <w:proofErr w:type="spellStart"/>
      <w:r w:rsidR="0005744D" w:rsidRPr="0005744D">
        <w:rPr>
          <w:i/>
        </w:rPr>
        <w:t>disputatae</w:t>
      </w:r>
      <w:proofErr w:type="spellEnd"/>
      <w:r w:rsidR="0005744D" w:rsidRPr="0005744D">
        <w:rPr>
          <w:i/>
        </w:rPr>
        <w:t xml:space="preserve"> de </w:t>
      </w:r>
      <w:proofErr w:type="spellStart"/>
      <w:r w:rsidR="0005744D" w:rsidRPr="0005744D">
        <w:rPr>
          <w:i/>
        </w:rPr>
        <w:t>verita</w:t>
      </w:r>
      <w:r w:rsidR="0073405E">
        <w:rPr>
          <w:i/>
        </w:rPr>
        <w:t>te</w:t>
      </w:r>
      <w:proofErr w:type="spellEnd"/>
      <w:r w:rsidR="0005744D" w:rsidRPr="0005744D">
        <w:t xml:space="preserve">, </w:t>
      </w:r>
      <w:r w:rsidR="00912EAC" w:rsidRPr="0005744D">
        <w:t>QI, A1</w:t>
      </w:r>
      <w:r w:rsidR="000A79DF" w:rsidRPr="0005744D">
        <w:t>)</w:t>
      </w:r>
      <w:r w:rsidR="0005744D">
        <w:t>.</w:t>
      </w:r>
      <w:r w:rsidR="007F1BBF">
        <w:t xml:space="preserve"> </w:t>
      </w:r>
      <w:r w:rsidR="00354FF1">
        <w:t xml:space="preserve"> </w:t>
      </w:r>
      <w:r w:rsidR="003C4073">
        <w:t>In other words</w:t>
      </w:r>
      <w:r w:rsidR="007F1BBF">
        <w:t xml:space="preserve">, the “sign” </w:t>
      </w:r>
      <w:r w:rsidR="00411CEB">
        <w:t xml:space="preserve">is true because it </w:t>
      </w:r>
      <w:r w:rsidR="003D5ABE">
        <w:t>accurately represents</w:t>
      </w:r>
      <w:r w:rsidR="00EA6FEC">
        <w:t xml:space="preserve"> </w:t>
      </w:r>
      <w:r w:rsidR="007F1BBF">
        <w:t xml:space="preserve">what </w:t>
      </w:r>
      <w:r w:rsidR="002D73BB">
        <w:t xml:space="preserve">“is.” </w:t>
      </w:r>
    </w:p>
    <w:p w14:paraId="07073435" w14:textId="668F114F" w:rsidR="00464F86" w:rsidRDefault="00AA76EE" w:rsidP="00954503">
      <w:pPr>
        <w:ind w:firstLine="720"/>
      </w:pPr>
      <w:r>
        <w:t>Yet o</w:t>
      </w:r>
      <w:r w:rsidR="00C13FD7">
        <w:t xml:space="preserve">ver the course of the narrative, the </w:t>
      </w:r>
      <w:r>
        <w:t>role</w:t>
      </w:r>
      <w:r w:rsidR="00C13FD7">
        <w:t xml:space="preserve"> of “signs”</w:t>
      </w:r>
      <w:r w:rsidR="00EA330F">
        <w:t xml:space="preserve"> </w:t>
      </w:r>
      <w:r w:rsidR="00C13FD7">
        <w:t xml:space="preserve">becomes more ambiguous.  </w:t>
      </w:r>
      <w:r w:rsidR="007319DC">
        <w:t>Signs</w:t>
      </w:r>
      <w:r w:rsidR="00305CD4">
        <w:t xml:space="preserve"> </w:t>
      </w:r>
      <w:r w:rsidR="00CB118A">
        <w:t>can be misread</w:t>
      </w:r>
      <w:r w:rsidR="003D5ABE">
        <w:t>, after all</w:t>
      </w:r>
      <w:r w:rsidR="00871F24">
        <w:t>.</w:t>
      </w:r>
      <w:r w:rsidR="00CB118A">
        <w:t xml:space="preserve">  </w:t>
      </w:r>
      <w:r w:rsidR="00464F86">
        <w:t xml:space="preserve">The seventh </w:t>
      </w:r>
      <w:r w:rsidR="00C13FD7">
        <w:t>“</w:t>
      </w:r>
      <w:r w:rsidR="00464F86">
        <w:t>sign,</w:t>
      </w:r>
      <w:r w:rsidR="00C13FD7">
        <w:t>”</w:t>
      </w:r>
      <w:r w:rsidR="00464F86">
        <w:t xml:space="preserve"> the raising of Lazarus (11:28-44), </w:t>
      </w:r>
      <w:r>
        <w:t>seems to indicate that s</w:t>
      </w:r>
      <w:r w:rsidR="00411CEB">
        <w:t>igns are no</w:t>
      </w:r>
      <w:r w:rsidR="0048679C">
        <w:t xml:space="preserve">t necessary </w:t>
      </w:r>
      <w:r w:rsidR="007F1BBF">
        <w:t xml:space="preserve">to </w:t>
      </w:r>
      <w:r w:rsidR="003D5ABE">
        <w:t>recognize</w:t>
      </w:r>
      <w:r w:rsidR="0048679C">
        <w:t xml:space="preserve"> the truth</w:t>
      </w:r>
      <w:r w:rsidR="00464F86">
        <w:t>.  The “</w:t>
      </w:r>
      <w:r w:rsidR="00C13FD7">
        <w:t>sign</w:t>
      </w:r>
      <w:r w:rsidR="00464F86">
        <w:t xml:space="preserve">” </w:t>
      </w:r>
      <w:r>
        <w:t xml:space="preserve">in this scene </w:t>
      </w:r>
      <w:r w:rsidR="00464F86">
        <w:t>(</w:t>
      </w:r>
      <w:r>
        <w:t xml:space="preserve">i.e., </w:t>
      </w:r>
      <w:r w:rsidR="00464F86">
        <w:t xml:space="preserve">Lazarus’ resurrection) plays an insignificant role in </w:t>
      </w:r>
      <w:r w:rsidR="003D5ABE">
        <w:t>Martha’s recognition of Jesus</w:t>
      </w:r>
      <w:r w:rsidR="00464F86">
        <w:t xml:space="preserve">, which is effectively resolved before Lazarus is </w:t>
      </w:r>
      <w:r w:rsidR="007F1BBF">
        <w:t xml:space="preserve">ever </w:t>
      </w:r>
      <w:r w:rsidR="00464F86">
        <w:t xml:space="preserve">raised (11:17-27).  </w:t>
      </w:r>
      <w:proofErr w:type="gramStart"/>
      <w:r w:rsidR="00464F86">
        <w:t xml:space="preserve">Martha, who originally misunderstands resurrection as a future </w:t>
      </w:r>
      <w:r w:rsidR="00464F86">
        <w:lastRenderedPageBreak/>
        <w:t>event (11:24), is challenged by Jesus</w:t>
      </w:r>
      <w:proofErr w:type="gramEnd"/>
      <w:r w:rsidR="00464F86">
        <w:t xml:space="preserve">: “I am the resurrection and the life.  Those who believe in me, even though they die, will live, and everyone who lives and believes in me will never die.  Do you believe this?” (11:25-26).  Martha’s response is an authentic (and exemplary) recognition of </w:t>
      </w:r>
      <w:r>
        <w:t>the truth</w:t>
      </w:r>
      <w:r w:rsidR="00464F86">
        <w:t>: “Yes, Lord, I believe that you are the Messiah, the Son of God, the one coming into the world” (11:27).  Like the sheep in Chapter 10, Martha heard the voice of the “good shepherd” and res</w:t>
      </w:r>
      <w:r w:rsidR="007F1BBF">
        <w:t>ponded accordingly.  No “sign”</w:t>
      </w:r>
      <w:r w:rsidR="0048679C">
        <w:t xml:space="preserve"> </w:t>
      </w:r>
      <w:r w:rsidR="00464F86">
        <w:t xml:space="preserve">was necessary for Martha to </w:t>
      </w:r>
      <w:r>
        <w:t>know the truth</w:t>
      </w:r>
      <w:r w:rsidR="00464F86">
        <w:t>.</w:t>
      </w:r>
      <w:r w:rsidR="00464F86">
        <w:rPr>
          <w:rStyle w:val="FootnoteReference"/>
        </w:rPr>
        <w:footnoteReference w:id="7"/>
      </w:r>
      <w:r w:rsidR="00EA330F">
        <w:t xml:space="preserve">  That is to say, Martha recognize</w:t>
      </w:r>
      <w:r w:rsidR="00CB118A">
        <w:t>s</w:t>
      </w:r>
      <w:r w:rsidR="00EA330F">
        <w:t xml:space="preserve"> truth in a way that d</w:t>
      </w:r>
      <w:r w:rsidR="00CB118A">
        <w:t>oes</w:t>
      </w:r>
      <w:r w:rsidR="00EA330F">
        <w:t xml:space="preserve"> not require her to evaluate </w:t>
      </w:r>
      <w:r w:rsidR="00CB118A">
        <w:t xml:space="preserve">whether </w:t>
      </w:r>
      <w:r w:rsidR="003D5ABE">
        <w:t xml:space="preserve">certain representations </w:t>
      </w:r>
      <w:r w:rsidR="007D7F79">
        <w:t>of reality</w:t>
      </w:r>
      <w:r w:rsidR="007754D6">
        <w:t xml:space="preserve"> (signs)</w:t>
      </w:r>
      <w:r w:rsidR="007D7F79">
        <w:t xml:space="preserve"> </w:t>
      </w:r>
      <w:r w:rsidR="00CB118A">
        <w:t>actually match</w:t>
      </w:r>
      <w:r w:rsidR="00EA330F">
        <w:t xml:space="preserve"> reality.  </w:t>
      </w:r>
      <w:r w:rsidR="00464F86">
        <w:t xml:space="preserve"> </w:t>
      </w:r>
    </w:p>
    <w:p w14:paraId="3A6A92FF" w14:textId="2F092006" w:rsidR="00464F86" w:rsidRDefault="00464F86" w:rsidP="00954503">
      <w:pPr>
        <w:ind w:firstLine="720"/>
      </w:pPr>
      <w:r>
        <w:t xml:space="preserve">If the first seven signs constitute a narrative trajectory that calls into question the necessity of signs, the final </w:t>
      </w:r>
      <w:r w:rsidR="00AA76EE">
        <w:t>“</w:t>
      </w:r>
      <w:r>
        <w:t>sign</w:t>
      </w:r>
      <w:r w:rsidR="00AA76EE">
        <w:t>”</w:t>
      </w:r>
      <w:r>
        <w:t xml:space="preserve"> </w:t>
      </w:r>
      <w:r w:rsidR="00CB118A">
        <w:t xml:space="preserve">points to a </w:t>
      </w:r>
      <w:r w:rsidR="003D5ABE">
        <w:t xml:space="preserve">notion </w:t>
      </w:r>
      <w:r w:rsidR="00CB118A">
        <w:t xml:space="preserve">of </w:t>
      </w:r>
      <w:r w:rsidR="00AA76EE">
        <w:t>truth</w:t>
      </w:r>
      <w:r w:rsidR="00A52EA6">
        <w:t xml:space="preserve"> based on encounter</w:t>
      </w:r>
      <w:r w:rsidR="003D5ABE">
        <w:t xml:space="preserve"> rather than representation</w:t>
      </w:r>
      <w:r>
        <w:t>.  John 21:1-7 has all the structural elements of a classic recognition scene</w:t>
      </w:r>
      <w:r w:rsidR="000A79DF">
        <w:t xml:space="preserve">.  </w:t>
      </w:r>
      <w:r>
        <w:t xml:space="preserve">Jesus appears to a group of disciples fishing in the Sea of </w:t>
      </w:r>
      <w:proofErr w:type="spellStart"/>
      <w:r>
        <w:t>Tiberias</w:t>
      </w:r>
      <w:proofErr w:type="spellEnd"/>
      <w:r>
        <w:t xml:space="preserve"> (the meeting).  The narrator confirms </w:t>
      </w:r>
      <w:r w:rsidR="00DB504C">
        <w:t>the disciples’</w:t>
      </w:r>
      <w:r>
        <w:t xml:space="preserve"> ignorance (cognitive resistance): “Jesus stood on the beach, but the disciples did not know that it was Jesus.”  Jesus gives a sign (displaying the token) by arranging the miraculous catch of fish, which inspires the Beloved Disciple, and then Peter, to recognize Jesus (the moment of recognition).  Finally, Peter leaps overboard, swimming to Jesus ahead of the others (attendant</w:t>
      </w:r>
      <w:r w:rsidR="0005744D">
        <w:t xml:space="preserve"> reaction and physical reunion)</w:t>
      </w:r>
      <w:r w:rsidR="000A79DF">
        <w:t xml:space="preserve"> (Larsen 2008: 212).</w:t>
      </w:r>
      <w:r>
        <w:t xml:space="preserve"> </w:t>
      </w:r>
      <w:r w:rsidR="000A79DF">
        <w:t xml:space="preserve"> </w:t>
      </w:r>
      <w:r>
        <w:t>Yet the scene does not stop there.  The remaining disciples do not recognize Jesus until a new token is given: “Jesus said to them, ‘Come and have breakfast’” (21:12).  This in turn inspires the Gospel’s ultimate moment of recognition: “Now none of the disciples dared to ask him, ‘Who are you?’ because they knew it was the Lord” (21:12).  This second moment of recognition is not explained in the narrative; rather, the climax of the scene is the communal meal, which is a clear reference to the Eucharist: “Jesus came and took the bread and gave it to them, and did the same with the fish” (21:13).</w:t>
      </w:r>
      <w:r>
        <w:rPr>
          <w:rStyle w:val="FootnoteReference"/>
        </w:rPr>
        <w:footnoteReference w:id="8"/>
      </w:r>
      <w:r>
        <w:t xml:space="preserve">  As </w:t>
      </w:r>
      <w:r w:rsidR="00411CEB">
        <w:t xml:space="preserve">Alan </w:t>
      </w:r>
      <w:r>
        <w:t>Culpepper puts it,</w:t>
      </w:r>
    </w:p>
    <w:p w14:paraId="089FA1B9" w14:textId="5E5F406C" w:rsidR="00464F86" w:rsidRDefault="00464F86" w:rsidP="00954503">
      <w:pPr>
        <w:ind w:left="720"/>
      </w:pPr>
      <w:r w:rsidRPr="00EA4493">
        <w:t>The recognition of Jesus by the Beloved Disciple and the other disciples (21:7, 12) no longer stands as the climax of the scene. Instead the climactic act is the invitation to the meal and the giving of bread</w:t>
      </w:r>
      <w:r>
        <w:t xml:space="preserve"> and fish, which has both Chris</w:t>
      </w:r>
      <w:r w:rsidRPr="00EA4493">
        <w:t>tological and Eu</w:t>
      </w:r>
      <w:r>
        <w:t>charistic</w:t>
      </w:r>
      <w:r w:rsidRPr="00EA4493">
        <w:t xml:space="preserve"> significance. The final move of the signs as recogni</w:t>
      </w:r>
      <w:r>
        <w:t xml:space="preserve">tion scenes in </w:t>
      </w:r>
      <w:proofErr w:type="gramStart"/>
      <w:r>
        <w:t>John,</w:t>
      </w:r>
      <w:proofErr w:type="gramEnd"/>
      <w:r>
        <w:t xml:space="preserve"> therefore…</w:t>
      </w:r>
      <w:r w:rsidRPr="00EA4493">
        <w:t xml:space="preserve"> is to pose for the reader the challenge of reco</w:t>
      </w:r>
      <w:r>
        <w:t>gnizing Jesus in the Eucharistic</w:t>
      </w:r>
      <w:r w:rsidR="0005744D">
        <w:t xml:space="preserve"> meal </w:t>
      </w:r>
      <w:r w:rsidR="000A79DF">
        <w:t>(Culpepper 2008: 258).</w:t>
      </w:r>
    </w:p>
    <w:p w14:paraId="6F0BEB07" w14:textId="010F1741" w:rsidR="00464F86" w:rsidRDefault="00464F86" w:rsidP="00954503">
      <w:r>
        <w:lastRenderedPageBreak/>
        <w:t>Christ is present in the mos</w:t>
      </w:r>
      <w:r w:rsidR="00CB118A">
        <w:t>t decisive way</w:t>
      </w:r>
      <w:r w:rsidR="00AA76EE">
        <w:t xml:space="preserve"> </w:t>
      </w:r>
      <w:r>
        <w:t>in the Eucharistic meal and in th</w:t>
      </w:r>
      <w:r w:rsidR="0026308A">
        <w:t xml:space="preserve">e community that shares it; </w:t>
      </w:r>
      <w:r>
        <w:t>the Eucharist is both a sign (</w:t>
      </w:r>
      <w:r w:rsidR="00CB118A">
        <w:t>a representation of</w:t>
      </w:r>
      <w:r>
        <w:t xml:space="preserve"> the particular historical events of Christ’s death and resurrection) and true divine presence.</w:t>
      </w:r>
      <w:r>
        <w:rPr>
          <w:rStyle w:val="FootnoteReference"/>
        </w:rPr>
        <w:footnoteReference w:id="9"/>
      </w:r>
      <w:r w:rsidR="00CB261F">
        <w:t xml:space="preserve">  Truth, for John, is not a function of evaluating particular </w:t>
      </w:r>
      <w:r w:rsidR="00EA6FEC">
        <w:t>propositions</w:t>
      </w:r>
      <w:r w:rsidR="00CB261F">
        <w:t xml:space="preserve"> or bodies of evidence</w:t>
      </w:r>
      <w:r w:rsidR="00EA330F">
        <w:t xml:space="preserve"> as potential representations of reality</w:t>
      </w:r>
      <w:r w:rsidR="00CB261F">
        <w:t xml:space="preserve">; rather, “truth” </w:t>
      </w:r>
      <w:r w:rsidR="00310CC4">
        <w:t xml:space="preserve">is </w:t>
      </w:r>
      <w:r w:rsidR="00EA6FEC">
        <w:t>generated out of a divine encounter that becomes</w:t>
      </w:r>
      <w:r w:rsidR="00310CC4">
        <w:t xml:space="preserve"> the generative source of both what we perceive as real</w:t>
      </w:r>
      <w:r w:rsidR="003D5ABE">
        <w:t xml:space="preserve"> (</w:t>
      </w:r>
      <w:r w:rsidR="007D7F79">
        <w:t>Aq</w:t>
      </w:r>
      <w:r w:rsidR="0026308A">
        <w:t>u</w:t>
      </w:r>
      <w:r w:rsidR="007D7F79">
        <w:t>inas’s “</w:t>
      </w:r>
      <w:r w:rsidR="003D5ABE">
        <w:rPr>
          <w:i/>
        </w:rPr>
        <w:t>re</w:t>
      </w:r>
      <w:r w:rsidR="00DB504C">
        <w:rPr>
          <w:i/>
        </w:rPr>
        <w:t>s</w:t>
      </w:r>
      <w:r w:rsidR="007D7F79">
        <w:t>”</w:t>
      </w:r>
      <w:r w:rsidR="003D5ABE">
        <w:t>)</w:t>
      </w:r>
      <w:r w:rsidR="00310CC4">
        <w:t xml:space="preserve"> and </w:t>
      </w:r>
      <w:r w:rsidR="00411CEB">
        <w:t>our mental representations</w:t>
      </w:r>
      <w:r w:rsidR="00310CC4">
        <w:t xml:space="preserve"> </w:t>
      </w:r>
      <w:r w:rsidR="00411CEB">
        <w:t xml:space="preserve">of the </w:t>
      </w:r>
      <w:r w:rsidR="00310CC4">
        <w:t>real</w:t>
      </w:r>
      <w:r w:rsidR="003D5ABE">
        <w:t xml:space="preserve"> (</w:t>
      </w:r>
      <w:r w:rsidR="007D7F79">
        <w:t>Aquinas’s “</w:t>
      </w:r>
      <w:proofErr w:type="spellStart"/>
      <w:r w:rsidR="003D5ABE">
        <w:rPr>
          <w:i/>
        </w:rPr>
        <w:t>intellectus</w:t>
      </w:r>
      <w:proofErr w:type="spellEnd"/>
      <w:r w:rsidR="007D7F79">
        <w:t>”</w:t>
      </w:r>
      <w:r w:rsidR="003D5ABE">
        <w:t>)</w:t>
      </w:r>
      <w:r w:rsidR="00CB261F">
        <w:t xml:space="preserve">.  The encounter with God </w:t>
      </w:r>
      <w:r w:rsidR="00310CC4">
        <w:t>in</w:t>
      </w:r>
      <w:r w:rsidR="00EA330F">
        <w:t xml:space="preserve"> the Eucharist</w:t>
      </w:r>
      <w:r w:rsidR="00310CC4">
        <w:t xml:space="preserve"> (which </w:t>
      </w:r>
      <w:r w:rsidR="00EE5DAB">
        <w:t xml:space="preserve">is performed communally and which </w:t>
      </w:r>
      <w:r w:rsidR="00310CC4">
        <w:t>symbolically re-enacts the events of Easter)</w:t>
      </w:r>
      <w:r w:rsidR="00CB261F">
        <w:t xml:space="preserve"> </w:t>
      </w:r>
      <w:r w:rsidR="00310CC4">
        <w:t xml:space="preserve">becomes the key—the general recipe—for how reality is </w:t>
      </w:r>
      <w:r w:rsidR="0026308A">
        <w:t xml:space="preserve">both </w:t>
      </w:r>
      <w:r w:rsidR="00310CC4">
        <w:t xml:space="preserve">constituted </w:t>
      </w:r>
      <w:r w:rsidR="003D5ABE">
        <w:t>and known</w:t>
      </w:r>
      <w:r w:rsidR="00310CC4">
        <w:t>.</w:t>
      </w:r>
    </w:p>
    <w:p w14:paraId="518336A2" w14:textId="54DCC9E0" w:rsidR="007D7F79" w:rsidRDefault="00310CC4" w:rsidP="00954503">
      <w:r>
        <w:tab/>
        <w:t>There is much more to say</w:t>
      </w:r>
      <w:r w:rsidR="006D68B5">
        <w:t xml:space="preserve"> here</w:t>
      </w:r>
      <w:r>
        <w:t xml:space="preserve">, but it is sufficient to note that the Gospel of John </w:t>
      </w:r>
      <w:r w:rsidR="00EE5DAB">
        <w:t>suggests</w:t>
      </w:r>
      <w:r>
        <w:t xml:space="preserve"> </w:t>
      </w:r>
      <w:r w:rsidR="00F84104">
        <w:t>a notion</w:t>
      </w:r>
      <w:r>
        <w:t xml:space="preserve"> of truth </w:t>
      </w:r>
      <w:r w:rsidR="003D5ABE">
        <w:t>based on encounter</w:t>
      </w:r>
      <w:r w:rsidR="008A2E74">
        <w:t xml:space="preserve"> rather than representation</w:t>
      </w:r>
      <w:r w:rsidR="00EA6FEC">
        <w:t>.</w:t>
      </w:r>
      <w:r w:rsidR="003D5ABE">
        <w:t xml:space="preserve">  Jesus is “</w:t>
      </w:r>
      <w:r w:rsidR="003D5ABE" w:rsidRPr="003D5ABE">
        <w:t>ἀ-</w:t>
      </w:r>
      <w:proofErr w:type="spellStart"/>
      <w:r w:rsidR="003D5ABE" w:rsidRPr="003D5ABE">
        <w:t>λήθει</w:t>
      </w:r>
      <w:proofErr w:type="spellEnd"/>
      <w:r w:rsidR="003D5ABE" w:rsidRPr="003D5ABE">
        <w:t>α</w:t>
      </w:r>
      <w:r w:rsidR="003D5ABE">
        <w:t>”</w:t>
      </w:r>
      <w:r w:rsidR="007D7F79">
        <w:t>—</w:t>
      </w:r>
      <w:r w:rsidR="003D5ABE">
        <w:t xml:space="preserve">the </w:t>
      </w:r>
      <w:proofErr w:type="spellStart"/>
      <w:r w:rsidR="003D5ABE">
        <w:t>unconcealing</w:t>
      </w:r>
      <w:proofErr w:type="spellEnd"/>
      <w:r w:rsidR="003D5ABE">
        <w:t xml:space="preserve"> or disclosure of God.  To encounter Christ is to know God. </w:t>
      </w:r>
      <w:r w:rsidR="00EA6FEC">
        <w:t xml:space="preserve"> If I m</w:t>
      </w:r>
      <w:r w:rsidR="00EE5DAB">
        <w:t>ay</w:t>
      </w:r>
      <w:r w:rsidR="00EA6FEC">
        <w:t xml:space="preserve"> put on my continental philosophy hat for a moment, I would say </w:t>
      </w:r>
      <w:r w:rsidR="00411CEB">
        <w:t xml:space="preserve">that </w:t>
      </w:r>
      <w:r w:rsidR="00EA6FEC">
        <w:t xml:space="preserve">the Gospel of John </w:t>
      </w:r>
      <w:r w:rsidR="007D7F79">
        <w:t>treats</w:t>
      </w:r>
      <w:r w:rsidR="003D5ABE">
        <w:t xml:space="preserve"> truth as</w:t>
      </w:r>
      <w:r w:rsidR="006D68B5">
        <w:t xml:space="preserve"> a hermeneutic</w:t>
      </w:r>
      <w:r w:rsidR="00EA6FEC">
        <w:t xml:space="preserve"> of encounter.</w:t>
      </w:r>
      <w:r w:rsidR="00804F2C" w:rsidRPr="00804F2C">
        <w:rPr>
          <w:rStyle w:val="FootnoteReference"/>
        </w:rPr>
        <w:t xml:space="preserve"> </w:t>
      </w:r>
      <w:r w:rsidR="00804F2C">
        <w:rPr>
          <w:rStyle w:val="FootnoteReference"/>
        </w:rPr>
        <w:footnoteReference w:id="10"/>
      </w:r>
      <w:r w:rsidR="00EA6FEC">
        <w:t xml:space="preserve"> </w:t>
      </w:r>
      <w:r w:rsidR="003C4073">
        <w:t xml:space="preserve"> </w:t>
      </w:r>
      <w:r w:rsidR="00734430">
        <w:t>T</w:t>
      </w:r>
      <w:r w:rsidR="00EA6FEC">
        <w:t xml:space="preserve">he encounter with God in the Eucharist </w:t>
      </w:r>
      <w:r w:rsidR="00F84104">
        <w:t xml:space="preserve">is the event </w:t>
      </w:r>
      <w:r w:rsidR="007D7F79">
        <w:t xml:space="preserve">(indefinitely repeated in liturgy) </w:t>
      </w:r>
      <w:r w:rsidR="00F84104">
        <w:t>through</w:t>
      </w:r>
      <w:r w:rsidR="00B01EA9">
        <w:t xml:space="preserve"> which the </w:t>
      </w:r>
      <w:proofErr w:type="spellStart"/>
      <w:r w:rsidR="00B01EA9">
        <w:t>Johannine</w:t>
      </w:r>
      <w:proofErr w:type="spellEnd"/>
      <w:r w:rsidR="00B01EA9">
        <w:t xml:space="preserve"> community, </w:t>
      </w:r>
      <w:r w:rsidR="00F84104">
        <w:t xml:space="preserve">and </w:t>
      </w:r>
      <w:r w:rsidR="00B01EA9">
        <w:t>successive Christian communities,</w:t>
      </w:r>
      <w:r w:rsidR="00F84104">
        <w:t xml:space="preserve"> </w:t>
      </w:r>
      <w:r w:rsidR="001145C5">
        <w:t>perceive</w:t>
      </w:r>
      <w:r w:rsidR="00F84104">
        <w:t xml:space="preserve"> and understand the </w:t>
      </w:r>
      <w:r w:rsidR="0072605C">
        <w:t>world</w:t>
      </w:r>
      <w:r w:rsidR="00176767">
        <w:t xml:space="preserve"> around them</w:t>
      </w:r>
      <w:r w:rsidR="00F84104">
        <w:t>.</w:t>
      </w:r>
    </w:p>
    <w:p w14:paraId="7263DCB4" w14:textId="0FA2E5F7" w:rsidR="00040180" w:rsidRDefault="00444298" w:rsidP="00954503">
      <w:r>
        <w:tab/>
      </w:r>
      <w:r w:rsidR="00040180">
        <w:t>On the one hand, t</w:t>
      </w:r>
      <w:r w:rsidR="00981E09">
        <w:t xml:space="preserve">he </w:t>
      </w:r>
      <w:proofErr w:type="spellStart"/>
      <w:r w:rsidR="00981E09">
        <w:t>Johannine</w:t>
      </w:r>
      <w:proofErr w:type="spellEnd"/>
      <w:r w:rsidR="00981E09">
        <w:t xml:space="preserve"> idea </w:t>
      </w:r>
      <w:r>
        <w:t xml:space="preserve">of truth </w:t>
      </w:r>
      <w:r w:rsidR="001641E2">
        <w:t xml:space="preserve">as a function of </w:t>
      </w:r>
      <w:r w:rsidR="006775B6">
        <w:t>divine</w:t>
      </w:r>
      <w:r w:rsidR="00F634A8">
        <w:t xml:space="preserve"> </w:t>
      </w:r>
      <w:r w:rsidR="007D7F79">
        <w:t xml:space="preserve">encounter </w:t>
      </w:r>
      <w:r w:rsidR="00F634A8">
        <w:t xml:space="preserve">is immensely helpful in </w:t>
      </w:r>
      <w:r w:rsidR="007D7F79">
        <w:t>think</w:t>
      </w:r>
      <w:r w:rsidR="00F634A8">
        <w:t>ing</w:t>
      </w:r>
      <w:r w:rsidR="007D7F79">
        <w:t xml:space="preserve"> about r</w:t>
      </w:r>
      <w:r w:rsidR="00F634A8">
        <w:t xml:space="preserve">eligious difference.  Too often, religions are treated as sets of propositions that must be defended against competing sets of propositions—exclusivism, for example, is borne out </w:t>
      </w:r>
      <w:r w:rsidR="0019525D">
        <w:t xml:space="preserve">this anxiety.  Yet, if truth were </w:t>
      </w:r>
      <w:r>
        <w:t>a</w:t>
      </w:r>
      <w:r w:rsidR="0019525D">
        <w:t>n</w:t>
      </w:r>
      <w:r>
        <w:t xml:space="preserve"> encounter</w:t>
      </w:r>
      <w:r w:rsidR="0019525D">
        <w:t xml:space="preserve"> with the divine, then much of the </w:t>
      </w:r>
      <w:proofErr w:type="spellStart"/>
      <w:r w:rsidR="0019525D">
        <w:t>agonism</w:t>
      </w:r>
      <w:proofErr w:type="spellEnd"/>
      <w:r w:rsidR="0019525D">
        <w:t xml:space="preserve"> generated by propositio</w:t>
      </w:r>
      <w:r w:rsidR="00040180">
        <w:t>nal</w:t>
      </w:r>
      <w:r w:rsidR="001E556A">
        <w:t xml:space="preserve"> logic would be ameliorated.  On</w:t>
      </w:r>
      <w:r w:rsidR="00040180">
        <w:t xml:space="preserve"> the other hand</w:t>
      </w:r>
      <w:r>
        <w:t xml:space="preserve">, it is difficult to generate a </w:t>
      </w:r>
      <w:r w:rsidR="00040180">
        <w:t xml:space="preserve">fully formed </w:t>
      </w:r>
      <w:r w:rsidR="006D68B5">
        <w:t>model of inter</w:t>
      </w:r>
      <w:r>
        <w:t xml:space="preserve">religious dialogue based on the Gospel of John, which </w:t>
      </w:r>
      <w:r w:rsidR="00684A04">
        <w:t>is perhaps</w:t>
      </w:r>
      <w:r w:rsidR="00040180">
        <w:t xml:space="preserve"> the most exclusive of all the</w:t>
      </w:r>
      <w:r>
        <w:t xml:space="preserve"> Gospel</w:t>
      </w:r>
      <w:r w:rsidR="008A2E74">
        <w:t>s.  O</w:t>
      </w:r>
      <w:r>
        <w:t>nly in John does Jesus says, “No one comes to the F</w:t>
      </w:r>
      <w:r w:rsidR="008A2E74">
        <w:t>ather except through me” (14:6)</w:t>
      </w:r>
      <w:r w:rsidR="00871F24">
        <w:t>.</w:t>
      </w:r>
      <w:r>
        <w:t xml:space="preserve">  There are good historical reasons for the Gospel of John to make such a claim.  The </w:t>
      </w:r>
      <w:proofErr w:type="spellStart"/>
      <w:r>
        <w:t>Johannine</w:t>
      </w:r>
      <w:proofErr w:type="spellEnd"/>
      <w:r>
        <w:t xml:space="preserve"> community was </w:t>
      </w:r>
      <w:r w:rsidR="006D68B5">
        <w:t xml:space="preserve">a </w:t>
      </w:r>
      <w:r w:rsidR="00C53034">
        <w:t>sectarian community</w:t>
      </w:r>
      <w:r>
        <w:t xml:space="preserve"> </w:t>
      </w:r>
      <w:r w:rsidR="001E556A">
        <w:t>existing in tension</w:t>
      </w:r>
      <w:r w:rsidR="00C53034">
        <w:t xml:space="preserve"> with its parent tradition</w:t>
      </w:r>
      <w:r w:rsidR="00040180">
        <w:t xml:space="preserve"> (Judaism)</w:t>
      </w:r>
      <w:r w:rsidR="00C53034">
        <w:t>.</w:t>
      </w:r>
      <w:r w:rsidR="00C53034">
        <w:rPr>
          <w:rStyle w:val="FootnoteReference"/>
        </w:rPr>
        <w:footnoteReference w:id="11"/>
      </w:r>
      <w:r w:rsidR="00167582">
        <w:t xml:space="preserve">  The exclusive</w:t>
      </w:r>
      <w:r w:rsidR="00040180">
        <w:t xml:space="preserve"> rhetoric</w:t>
      </w:r>
      <w:r w:rsidR="00C53034">
        <w:t xml:space="preserve"> was probably </w:t>
      </w:r>
      <w:r w:rsidR="00167582">
        <w:t>meant to comfort</w:t>
      </w:r>
      <w:r w:rsidR="00040180">
        <w:t xml:space="preserve"> the suffering community—a</w:t>
      </w:r>
      <w:r w:rsidR="00C53034">
        <w:t xml:space="preserve">s if to say, “You may be suffering now, but don’t worry because you know the truth and your oppressors don’t.”  If we </w:t>
      </w:r>
      <w:r w:rsidR="00CA6745">
        <w:t xml:space="preserve">see John’s exclusivism as </w:t>
      </w:r>
      <w:r w:rsidR="0052142D">
        <w:t>the</w:t>
      </w:r>
      <w:r w:rsidR="001E556A">
        <w:t xml:space="preserve"> </w:t>
      </w:r>
      <w:r w:rsidR="00CA6745">
        <w:t>res</w:t>
      </w:r>
      <w:r w:rsidR="00121BE7">
        <w:t>ult of historical circumstances</w:t>
      </w:r>
      <w:r w:rsidR="00CA6745">
        <w:t xml:space="preserve"> rather than</w:t>
      </w:r>
      <w:r w:rsidR="00C53034">
        <w:t xml:space="preserve"> </w:t>
      </w:r>
      <w:r w:rsidR="00CA6745">
        <w:t xml:space="preserve">an enduring theological </w:t>
      </w:r>
      <w:r w:rsidR="00167582">
        <w:t>injunction</w:t>
      </w:r>
      <w:r w:rsidR="00CA6745">
        <w:t>, then</w:t>
      </w:r>
      <w:r w:rsidR="00C53034">
        <w:t xml:space="preserve"> it </w:t>
      </w:r>
      <w:r w:rsidR="00CA6745">
        <w:t xml:space="preserve">may be </w:t>
      </w:r>
      <w:r w:rsidR="00C53034">
        <w:lastRenderedPageBreak/>
        <w:t>possible to ex</w:t>
      </w:r>
      <w:r w:rsidR="00CA6745">
        <w:t>pand</w:t>
      </w:r>
      <w:r w:rsidR="00C53034">
        <w:t xml:space="preserve"> John’s insight </w:t>
      </w:r>
      <w:r w:rsidR="00CA6745">
        <w:t>into</w:t>
      </w:r>
      <w:r w:rsidR="004A5138">
        <w:t xml:space="preserve"> a</w:t>
      </w:r>
      <w:r w:rsidR="00040180">
        <w:t xml:space="preserve"> more</w:t>
      </w:r>
      <w:r w:rsidR="006D68B5">
        <w:t xml:space="preserve"> effective model for inter</w:t>
      </w:r>
      <w:r w:rsidR="00C53034">
        <w:t>religious dialogue.</w:t>
      </w:r>
      <w:r w:rsidR="004A5138">
        <w:t xml:space="preserve">  Two expansions </w:t>
      </w:r>
      <w:r w:rsidR="00040180">
        <w:t xml:space="preserve">will be </w:t>
      </w:r>
      <w:r w:rsidR="00167582">
        <w:t>helpful</w:t>
      </w:r>
      <w:r w:rsidR="00040180">
        <w:t xml:space="preserve">.  </w:t>
      </w:r>
      <w:r w:rsidR="004A5138">
        <w:t>First,</w:t>
      </w:r>
      <w:r w:rsidR="00040180">
        <w:t xml:space="preserve"> a </w:t>
      </w:r>
      <w:proofErr w:type="gramStart"/>
      <w:r w:rsidR="00040180">
        <w:t>Rabbinical</w:t>
      </w:r>
      <w:proofErr w:type="gramEnd"/>
      <w:r w:rsidR="004A5138">
        <w:t xml:space="preserve"> </w:t>
      </w:r>
      <w:r w:rsidR="00040180">
        <w:t xml:space="preserve">expansion of divine love: </w:t>
      </w:r>
      <w:r w:rsidR="004A5138">
        <w:t>the Eucharist is a hermeneutical key for John because it re-presents the events of Easter</w:t>
      </w:r>
      <w:r w:rsidR="00040180">
        <w:t>,</w:t>
      </w:r>
      <w:r w:rsidR="004A5138">
        <w:t xml:space="preserve"> which </w:t>
      </w:r>
      <w:r w:rsidR="0073080D">
        <w:t>are</w:t>
      </w:r>
      <w:r w:rsidR="004A5138">
        <w:t>, for Christians, the paradi</w:t>
      </w:r>
      <w:r w:rsidR="006520EA">
        <w:t>gmatic expression of God’s love</w:t>
      </w:r>
      <w:r w:rsidR="004A5138">
        <w:t xml:space="preserve">. </w:t>
      </w:r>
      <w:r w:rsidR="00040180">
        <w:t xml:space="preserve"> The Rabbis teach us that creation itself i</w:t>
      </w:r>
      <w:r w:rsidR="00CA6745">
        <w:t xml:space="preserve">s an act of divine love, and so </w:t>
      </w:r>
      <w:r w:rsidR="00040180">
        <w:t xml:space="preserve">God may be encountered throughout </w:t>
      </w:r>
      <w:r w:rsidR="004A5138">
        <w:t>creation.  Second,</w:t>
      </w:r>
      <w:r w:rsidR="00040180">
        <w:t xml:space="preserve"> a Sufi expansion of religious imagination:</w:t>
      </w:r>
      <w:r w:rsidR="004A5138">
        <w:t xml:space="preserve"> if we are to find God’s love in traditions other than our own </w:t>
      </w:r>
      <w:r w:rsidR="004A5138" w:rsidRPr="00411CEB">
        <w:rPr>
          <w:i/>
        </w:rPr>
        <w:t>without abandoning our own</w:t>
      </w:r>
      <w:r w:rsidR="004A5138">
        <w:t>, we</w:t>
      </w:r>
      <w:r w:rsidR="00040180">
        <w:t xml:space="preserve"> need to develop the capacity to imaginatively engage other traditions.</w:t>
      </w:r>
    </w:p>
    <w:p w14:paraId="61157AFB" w14:textId="51072A78" w:rsidR="0052384B" w:rsidRDefault="00CA6745" w:rsidP="00954503">
      <w:r>
        <w:tab/>
      </w:r>
      <w:r w:rsidR="0052384B">
        <w:t>Divine love is common them</w:t>
      </w:r>
      <w:r w:rsidR="002D4F93">
        <w:t>e</w:t>
      </w:r>
      <w:r w:rsidR="0052384B">
        <w:t xml:space="preserve"> in </w:t>
      </w:r>
      <w:proofErr w:type="gramStart"/>
      <w:r w:rsidR="0052384B">
        <w:t>Rabbin</w:t>
      </w:r>
      <w:r w:rsidR="00BE2D7A">
        <w:t>i</w:t>
      </w:r>
      <w:r w:rsidR="0052384B">
        <w:t>c</w:t>
      </w:r>
      <w:proofErr w:type="gramEnd"/>
      <w:r w:rsidR="0052384B">
        <w:t xml:space="preserve"> literature, but I want to f</w:t>
      </w:r>
      <w:r w:rsidR="0052142D">
        <w:t>ocus on one particular thinker—</w:t>
      </w:r>
      <w:proofErr w:type="spellStart"/>
      <w:r w:rsidR="005A6701">
        <w:t>Hasdai</w:t>
      </w:r>
      <w:proofErr w:type="spellEnd"/>
      <w:r w:rsidR="005A6701">
        <w:t xml:space="preserve"> </w:t>
      </w:r>
      <w:proofErr w:type="spellStart"/>
      <w:r w:rsidR="005A6701">
        <w:t>Crescas</w:t>
      </w:r>
      <w:proofErr w:type="spellEnd"/>
      <w:r w:rsidR="005A6701">
        <w:t xml:space="preserve"> (1340-1410)</w:t>
      </w:r>
      <w:r w:rsidR="00BE2D7A">
        <w:t>, who</w:t>
      </w:r>
      <w:r w:rsidR="005A6701">
        <w:t xml:space="preserve"> was </w:t>
      </w:r>
      <w:r w:rsidR="00B36B4D">
        <w:t xml:space="preserve">the leader of the Jewish community in Aragon (Spain) and </w:t>
      </w:r>
      <w:r w:rsidR="00BE2D7A">
        <w:t>one of the foremost Rabbinic authorities</w:t>
      </w:r>
      <w:r w:rsidR="00B36B4D">
        <w:t xml:space="preserve"> of his time</w:t>
      </w:r>
      <w:r w:rsidR="0052384B">
        <w:t>.  He is well</w:t>
      </w:r>
      <w:r w:rsidR="00871F24">
        <w:t xml:space="preserve"> </w:t>
      </w:r>
      <w:r w:rsidR="0052384B">
        <w:t>known for his obj</w:t>
      </w:r>
      <w:r w:rsidR="00B36B4D">
        <w:t xml:space="preserve">ections </w:t>
      </w:r>
      <w:r w:rsidR="0052384B">
        <w:t>to the creeping</w:t>
      </w:r>
      <w:r w:rsidR="00B36B4D">
        <w:t xml:space="preserve"> influence </w:t>
      </w:r>
      <w:r w:rsidR="0052384B">
        <w:t xml:space="preserve">of </w:t>
      </w:r>
      <w:proofErr w:type="spellStart"/>
      <w:r w:rsidR="0052384B">
        <w:t>Aristotelianism</w:t>
      </w:r>
      <w:proofErr w:type="spellEnd"/>
      <w:r w:rsidR="0052384B">
        <w:t xml:space="preserve"> in</w:t>
      </w:r>
      <w:r w:rsidR="00B36B4D">
        <w:t xml:space="preserve"> Jewish though</w:t>
      </w:r>
      <w:r w:rsidR="0052384B">
        <w:t>t</w:t>
      </w:r>
      <w:r w:rsidR="00B36B4D">
        <w:t xml:space="preserve">.  His major philosophical work, </w:t>
      </w:r>
      <w:r w:rsidR="00B36B4D">
        <w:rPr>
          <w:i/>
        </w:rPr>
        <w:t xml:space="preserve">Or </w:t>
      </w:r>
      <w:proofErr w:type="spellStart"/>
      <w:r w:rsidR="00B36B4D">
        <w:rPr>
          <w:i/>
        </w:rPr>
        <w:t>Adonai</w:t>
      </w:r>
      <w:proofErr w:type="spellEnd"/>
      <w:r w:rsidR="00B36B4D">
        <w:t>, is a thoroughgoing critique of Maimonides, peppered with scriptural interpretation and Talmudic references.</w:t>
      </w:r>
      <w:r w:rsidR="0052384B">
        <w:tab/>
        <w:t xml:space="preserve">  Among </w:t>
      </w:r>
      <w:r w:rsidR="00890567">
        <w:t>h</w:t>
      </w:r>
      <w:r w:rsidR="00BE2D7A">
        <w:t>is many</w:t>
      </w:r>
      <w:r w:rsidR="0052384B">
        <w:t xml:space="preserve"> novel philosophical </w:t>
      </w:r>
      <w:r w:rsidR="00BE2D7A">
        <w:t xml:space="preserve">and theological </w:t>
      </w:r>
      <w:r w:rsidR="0052384B">
        <w:t>insights,</w:t>
      </w:r>
      <w:r w:rsidR="00BE2D7A">
        <w:t xml:space="preserve"> </w:t>
      </w:r>
      <w:proofErr w:type="spellStart"/>
      <w:r w:rsidR="00BE2D7A">
        <w:t>Crescas</w:t>
      </w:r>
      <w:proofErr w:type="spellEnd"/>
      <w:r w:rsidR="00BE2D7A">
        <w:t xml:space="preserve"> claims that the paradigmatic expression of God’s love is the act of creation.</w:t>
      </w:r>
    </w:p>
    <w:p w14:paraId="595D2582" w14:textId="6C942102" w:rsidR="0052384B" w:rsidRDefault="0052384B" w:rsidP="00954503">
      <w:pPr>
        <w:ind w:firstLine="720"/>
      </w:pPr>
      <w:proofErr w:type="spellStart"/>
      <w:r>
        <w:t>Crescas</w:t>
      </w:r>
      <w:proofErr w:type="spellEnd"/>
      <w:r>
        <w:t xml:space="preserve"> develops his </w:t>
      </w:r>
      <w:r w:rsidR="00890567">
        <w:t>concept</w:t>
      </w:r>
      <w:r>
        <w:t xml:space="preserve"> of divine love in opposition to the Socratic idea of </w:t>
      </w:r>
      <w:r w:rsidRPr="0052384B">
        <w:rPr>
          <w:i/>
        </w:rPr>
        <w:t>Eros</w:t>
      </w:r>
      <w:r>
        <w:t xml:space="preserve">.  </w:t>
      </w:r>
      <w:r w:rsidR="006520EA" w:rsidRPr="0052384B">
        <w:t>In</w:t>
      </w:r>
      <w:r w:rsidR="006520EA" w:rsidRPr="006520EA">
        <w:t xml:space="preserve"> the Socratic tradition, love stems from privation: one loves what one does not have.  Thus, in the </w:t>
      </w:r>
      <w:r w:rsidR="006520EA" w:rsidRPr="006520EA">
        <w:rPr>
          <w:i/>
        </w:rPr>
        <w:t>Symposium</w:t>
      </w:r>
      <w:r w:rsidR="006520EA" w:rsidRPr="006520EA">
        <w:t xml:space="preserve">, Socrates asks </w:t>
      </w:r>
      <w:proofErr w:type="spellStart"/>
      <w:r w:rsidR="006520EA" w:rsidRPr="006520EA">
        <w:t>Agathon</w:t>
      </w:r>
      <w:proofErr w:type="spellEnd"/>
      <w:r w:rsidR="006520EA" w:rsidRPr="006520EA">
        <w:t xml:space="preserve">, “Has he [i.e., the one who loves] or has he not the object of his desire and love when he desires and loves it?”  To which </w:t>
      </w:r>
      <w:proofErr w:type="spellStart"/>
      <w:r w:rsidR="006520EA" w:rsidRPr="006520EA">
        <w:t>Agathon</w:t>
      </w:r>
      <w:proofErr w:type="spellEnd"/>
      <w:r w:rsidR="006520EA" w:rsidRPr="006520EA">
        <w:t xml:space="preserve"> re</w:t>
      </w:r>
      <w:r w:rsidR="00480198">
        <w:t>sponds</w:t>
      </w:r>
      <w:r w:rsidR="006520EA" w:rsidRPr="006520EA">
        <w:t>, “He does not have it, most likely.”  Socrates</w:t>
      </w:r>
      <w:r w:rsidR="00480198">
        <w:t xml:space="preserve"> replies that the connection</w:t>
      </w:r>
      <w:r w:rsidR="006520EA" w:rsidRPr="006520EA">
        <w:t xml:space="preserve"> between love and privation is not only likely but necessary: “consider if the desiring subject must have desire for something it lacks, and again, no desire if it has no lack.  I at least, </w:t>
      </w:r>
      <w:proofErr w:type="spellStart"/>
      <w:r w:rsidR="006520EA" w:rsidRPr="006520EA">
        <w:t>Agathon</w:t>
      </w:r>
      <w:proofErr w:type="spellEnd"/>
      <w:r w:rsidR="006520EA" w:rsidRPr="006520EA">
        <w:t>, am perfectly sure it is a necessity.”  Love, for Socrates, is ultimately based on imperfection: “in general all who feel desire, feel it for what is not provided or present; for something t</w:t>
      </w:r>
      <w:r w:rsidR="00DA1073">
        <w:t>hey have not or are not or lack</w:t>
      </w:r>
      <w:r w:rsidR="006520EA" w:rsidRPr="006520EA">
        <w:t>”</w:t>
      </w:r>
      <w:r w:rsidR="00DA1073">
        <w:t xml:space="preserve"> (</w:t>
      </w:r>
      <w:r w:rsidR="0005744D">
        <w:t xml:space="preserve">Plato, </w:t>
      </w:r>
      <w:r w:rsidR="0005744D">
        <w:rPr>
          <w:i/>
        </w:rPr>
        <w:t>Symposium</w:t>
      </w:r>
      <w:r w:rsidR="0005744D">
        <w:t>,</w:t>
      </w:r>
      <w:r w:rsidR="00DA1073">
        <w:t xml:space="preserve"> 200a-e).</w:t>
      </w:r>
      <w:r w:rsidR="006520EA" w:rsidRPr="006520EA">
        <w:rPr>
          <w:vertAlign w:val="superscript"/>
        </w:rPr>
        <w:t xml:space="preserve"> </w:t>
      </w:r>
      <w:r>
        <w:tab/>
      </w:r>
    </w:p>
    <w:p w14:paraId="71B6D6A6" w14:textId="4AA2269D" w:rsidR="0052384B" w:rsidRDefault="006520EA" w:rsidP="00954503">
      <w:pPr>
        <w:ind w:firstLine="720"/>
      </w:pPr>
      <w:r w:rsidRPr="006520EA">
        <w:t xml:space="preserve">For Aristotle, the Socratic notion of love implies an </w:t>
      </w:r>
      <w:r w:rsidRPr="006520EA">
        <w:rPr>
          <w:i/>
        </w:rPr>
        <w:t>erotic</w:t>
      </w:r>
      <w:r w:rsidRPr="006520EA">
        <w:t xml:space="preserve"> hierarchy.  One who is less perfect has need of one who is more perfect, but not vice</w:t>
      </w:r>
      <w:r w:rsidR="00871F24">
        <w:t xml:space="preserve"> </w:t>
      </w:r>
      <w:r w:rsidRPr="006520EA">
        <w:t>versa: “the better of the two parties, for instance, or the more useful or otherwise superior as the case may be, should receive</w:t>
      </w:r>
      <w:r w:rsidR="00DA1073">
        <w:t xml:space="preserve"> more affection than he bestows</w:t>
      </w:r>
      <w:r w:rsidRPr="006520EA">
        <w:t>”</w:t>
      </w:r>
      <w:r w:rsidR="0005744D">
        <w:t xml:space="preserve"> (Aristotle, </w:t>
      </w:r>
      <w:proofErr w:type="spellStart"/>
      <w:r w:rsidR="0005744D">
        <w:rPr>
          <w:i/>
        </w:rPr>
        <w:t>Nichomachean</w:t>
      </w:r>
      <w:proofErr w:type="spellEnd"/>
      <w:r w:rsidR="0005744D">
        <w:rPr>
          <w:i/>
        </w:rPr>
        <w:t xml:space="preserve"> Ethics</w:t>
      </w:r>
      <w:r w:rsidR="0005744D">
        <w:t>,</w:t>
      </w:r>
      <w:r w:rsidR="00DA1073">
        <w:t xml:space="preserve"> 1158b).</w:t>
      </w:r>
      <w:r w:rsidRPr="006520EA">
        <w:t xml:space="preserve"> </w:t>
      </w:r>
      <w:r w:rsidR="00DA1073">
        <w:t xml:space="preserve"> </w:t>
      </w:r>
      <w:r w:rsidRPr="006520EA">
        <w:t>Warren Zev Harvey notes the implication: “This rule means, for Aristotle, that children should love parents more than parents love children, subjects should love rulers more than rulers love subjects, and wives should love husbands more than husbands love wives.  It also means that the Unm</w:t>
      </w:r>
      <w:r w:rsidR="00DA1073">
        <w:t>oved Mover is loved, not loving</w:t>
      </w:r>
      <w:r w:rsidRPr="006520EA">
        <w:t>”</w:t>
      </w:r>
      <w:r w:rsidR="00DA1073">
        <w:t xml:space="preserve"> (Zev Harvey 1998: 109).</w:t>
      </w:r>
      <w:r w:rsidRPr="006520EA">
        <w:t xml:space="preserve"> </w:t>
      </w:r>
      <w:r w:rsidR="00DA1073">
        <w:t xml:space="preserve"> </w:t>
      </w:r>
      <w:r w:rsidRPr="006520EA">
        <w:t>God, for Aristotle, is the perfect being, lacking nothing.  As such, God cannot love; the Unmoved Mover can be the object of love, but never the subject.</w:t>
      </w:r>
      <w:r w:rsidR="0052384B">
        <w:tab/>
      </w:r>
    </w:p>
    <w:p w14:paraId="66DAA0F3" w14:textId="511E94B6" w:rsidR="00E12BBB" w:rsidRPr="0052384B" w:rsidRDefault="00E12BBB" w:rsidP="00954503">
      <w:pPr>
        <w:ind w:firstLine="720"/>
      </w:pPr>
      <w:r>
        <w:rPr>
          <w:rFonts w:eastAsia="Times New Roman" w:cs="Times New Roman"/>
        </w:rPr>
        <w:t xml:space="preserve">In </w:t>
      </w:r>
      <w:r>
        <w:rPr>
          <w:rFonts w:eastAsia="Times New Roman" w:cs="Times New Roman"/>
          <w:i/>
        </w:rPr>
        <w:t xml:space="preserve">Or </w:t>
      </w:r>
      <w:proofErr w:type="spellStart"/>
      <w:r w:rsidRPr="00860072">
        <w:rPr>
          <w:rFonts w:eastAsia="Times New Roman" w:cs="Times New Roman"/>
          <w:i/>
        </w:rPr>
        <w:t>Adonai</w:t>
      </w:r>
      <w:proofErr w:type="spellEnd"/>
      <w:r w:rsidR="0052384B">
        <w:rPr>
          <w:rFonts w:eastAsia="Times New Roman" w:cs="Times New Roman"/>
        </w:rPr>
        <w:t>,</w:t>
      </w:r>
      <w:r>
        <w:rPr>
          <w:rFonts w:eastAsia="Times New Roman" w:cs="Times New Roman"/>
        </w:rPr>
        <w:t xml:space="preserve"> </w:t>
      </w:r>
      <w:proofErr w:type="spellStart"/>
      <w:r>
        <w:rPr>
          <w:rFonts w:eastAsia="Times New Roman" w:cs="Times New Roman"/>
        </w:rPr>
        <w:t>Crescas</w:t>
      </w:r>
      <w:proofErr w:type="spellEnd"/>
      <w:r>
        <w:rPr>
          <w:rFonts w:eastAsia="Times New Roman" w:cs="Times New Roman"/>
        </w:rPr>
        <w:t xml:space="preserve"> develops a notion of divine love that effectively brackets Aristotelian </w:t>
      </w:r>
      <w:r w:rsidR="00411CEB">
        <w:rPr>
          <w:rFonts w:eastAsia="Times New Roman" w:cs="Times New Roman"/>
          <w:i/>
        </w:rPr>
        <w:t>E</w:t>
      </w:r>
      <w:r>
        <w:rPr>
          <w:rFonts w:eastAsia="Times New Roman" w:cs="Times New Roman"/>
          <w:i/>
        </w:rPr>
        <w:t>ros</w:t>
      </w:r>
      <w:r>
        <w:rPr>
          <w:rFonts w:eastAsia="Times New Roman" w:cs="Times New Roman"/>
        </w:rPr>
        <w:t xml:space="preserve">.  Aristotle argues that God, as the perfect being, and as the ultimate object of love, lacks nothing and therefore cannot love.  </w:t>
      </w:r>
      <w:proofErr w:type="spellStart"/>
      <w:r>
        <w:rPr>
          <w:rFonts w:eastAsia="Times New Roman" w:cs="Times New Roman"/>
        </w:rPr>
        <w:t>Crescas</w:t>
      </w:r>
      <w:proofErr w:type="spellEnd"/>
      <w:r>
        <w:rPr>
          <w:rFonts w:eastAsia="Times New Roman" w:cs="Times New Roman"/>
        </w:rPr>
        <w:t xml:space="preserve"> agrees that God is the ultimate object of love, but rejects the notion that love stems from lack.  Love, for </w:t>
      </w:r>
      <w:proofErr w:type="spellStart"/>
      <w:r>
        <w:rPr>
          <w:rFonts w:eastAsia="Times New Roman" w:cs="Times New Roman"/>
        </w:rPr>
        <w:t>Crescas</w:t>
      </w:r>
      <w:proofErr w:type="spellEnd"/>
      <w:r>
        <w:rPr>
          <w:rFonts w:eastAsia="Times New Roman" w:cs="Times New Roman"/>
        </w:rPr>
        <w:t xml:space="preserve">, stems not from need or imperfection, but from power and perfection: “the love is in proportion to the perfection of the </w:t>
      </w:r>
      <w:r>
        <w:rPr>
          <w:rFonts w:eastAsia="Times New Roman" w:cs="Times New Roman"/>
          <w:i/>
        </w:rPr>
        <w:t>lover</w:t>
      </w:r>
      <w:r>
        <w:rPr>
          <w:rFonts w:eastAsia="Times New Roman" w:cs="Times New Roman"/>
        </w:rPr>
        <w:t>”</w:t>
      </w:r>
      <w:r w:rsidR="00DA1073">
        <w:rPr>
          <w:rFonts w:eastAsia="Times New Roman" w:cs="Times New Roman"/>
        </w:rPr>
        <w:t xml:space="preserve"> (Zev Harvey 1998: 110).</w:t>
      </w:r>
      <w:r>
        <w:rPr>
          <w:rFonts w:eastAsia="Times New Roman" w:cs="Times New Roman"/>
        </w:rPr>
        <w:t xml:space="preserve"> </w:t>
      </w:r>
      <w:r w:rsidR="00DA1073">
        <w:rPr>
          <w:rFonts w:eastAsia="Times New Roman" w:cs="Times New Roman"/>
        </w:rPr>
        <w:t xml:space="preserve"> </w:t>
      </w:r>
      <w:proofErr w:type="spellStart"/>
      <w:r>
        <w:rPr>
          <w:rFonts w:eastAsia="Times New Roman" w:cs="Times New Roman"/>
        </w:rPr>
        <w:t>Crescas</w:t>
      </w:r>
      <w:proofErr w:type="spellEnd"/>
      <w:r>
        <w:rPr>
          <w:rFonts w:eastAsia="Times New Roman" w:cs="Times New Roman"/>
        </w:rPr>
        <w:t xml:space="preserve"> supports his anti-Aristotelian notion of love by appealing to God’s perfection: </w:t>
      </w:r>
    </w:p>
    <w:p w14:paraId="5607825F" w14:textId="1139DA58" w:rsidR="00E12BBB" w:rsidRDefault="00E12BBB" w:rsidP="00954503">
      <w:pPr>
        <w:autoSpaceDE w:val="0"/>
        <w:autoSpaceDN w:val="0"/>
        <w:adjustRightInd w:val="0"/>
        <w:ind w:left="720"/>
        <w:rPr>
          <w:rFonts w:eastAsia="Times New Roman" w:cs="Times New Roman"/>
        </w:rPr>
      </w:pPr>
      <w:r>
        <w:rPr>
          <w:rFonts w:eastAsia="Times New Roman" w:cs="Times New Roman"/>
        </w:rPr>
        <w:lastRenderedPageBreak/>
        <w:t xml:space="preserve">Inasmuch as it is known that God, may He be blessed, is the source and fountain of all perfections, and in virtue of His perfection, which is His essence, He loves the good, as may be seen from His actions in bringing into existence the entire universe, sustaining it perpetually, and continuously creating it anew, and all by means of his simple will, it must necessarily be that the love of the good is an essential property of perfection.  It follows from this that the greater the perfection [of the lover], the greater will be the </w:t>
      </w:r>
      <w:r w:rsidR="0005744D">
        <w:rPr>
          <w:rFonts w:eastAsia="Times New Roman" w:cs="Times New Roman"/>
        </w:rPr>
        <w:t>love and the pleasure in desire</w:t>
      </w:r>
      <w:r w:rsidR="00DA1073">
        <w:rPr>
          <w:rFonts w:eastAsia="Times New Roman" w:cs="Times New Roman"/>
        </w:rPr>
        <w:t xml:space="preserve"> (</w:t>
      </w:r>
      <w:proofErr w:type="spellStart"/>
      <w:r w:rsidR="00DA1073">
        <w:rPr>
          <w:rFonts w:eastAsia="Times New Roman" w:cs="Times New Roman"/>
        </w:rPr>
        <w:t>Crescas</w:t>
      </w:r>
      <w:proofErr w:type="spellEnd"/>
      <w:r w:rsidR="0005744D">
        <w:rPr>
          <w:rFonts w:eastAsia="Times New Roman" w:cs="Times New Roman"/>
        </w:rPr>
        <w:t>,</w:t>
      </w:r>
      <w:r w:rsidR="00DA1073">
        <w:rPr>
          <w:rFonts w:eastAsia="Times New Roman" w:cs="Times New Roman"/>
        </w:rPr>
        <w:t xml:space="preserve"> </w:t>
      </w:r>
      <w:r w:rsidR="0005744D">
        <w:rPr>
          <w:rFonts w:eastAsia="Times New Roman" w:cs="Times New Roman"/>
          <w:i/>
        </w:rPr>
        <w:t xml:space="preserve">Or </w:t>
      </w:r>
      <w:proofErr w:type="spellStart"/>
      <w:r w:rsidR="0005744D">
        <w:rPr>
          <w:rFonts w:eastAsia="Times New Roman" w:cs="Times New Roman"/>
          <w:i/>
        </w:rPr>
        <w:t>Adonai</w:t>
      </w:r>
      <w:proofErr w:type="spellEnd"/>
      <w:r w:rsidR="0005744D">
        <w:rPr>
          <w:rFonts w:eastAsia="Times New Roman" w:cs="Times New Roman"/>
        </w:rPr>
        <w:t>,</w:t>
      </w:r>
      <w:r w:rsidR="00DA1073">
        <w:rPr>
          <w:rFonts w:eastAsia="Times New Roman" w:cs="Times New Roman"/>
        </w:rPr>
        <w:t xml:space="preserve"> II, 6, 1).</w:t>
      </w:r>
    </w:p>
    <w:p w14:paraId="792156A4" w14:textId="486FB9ED" w:rsidR="00E12BBB" w:rsidRDefault="00E12BBB" w:rsidP="00954503">
      <w:pPr>
        <w:autoSpaceDE w:val="0"/>
        <w:autoSpaceDN w:val="0"/>
        <w:adjustRightInd w:val="0"/>
        <w:rPr>
          <w:rFonts w:eastAsia="Times New Roman" w:cs="Times New Roman"/>
        </w:rPr>
      </w:pPr>
      <w:r>
        <w:rPr>
          <w:rFonts w:eastAsia="Times New Roman" w:cs="Times New Roman"/>
        </w:rPr>
        <w:t xml:space="preserve">Accordingly God, for </w:t>
      </w:r>
      <w:proofErr w:type="spellStart"/>
      <w:r>
        <w:rPr>
          <w:rFonts w:eastAsia="Times New Roman" w:cs="Times New Roman"/>
        </w:rPr>
        <w:t>Crescas</w:t>
      </w:r>
      <w:proofErr w:type="spellEnd"/>
      <w:r>
        <w:rPr>
          <w:rFonts w:eastAsia="Times New Roman" w:cs="Times New Roman"/>
        </w:rPr>
        <w:t xml:space="preserve">, is both the ultimate object of love and the ultimate lover.  God’s perfection implies an infinitely abundant love, which is ultimately manifest in creation.  In opposition to Aristotle’s claim that love only flows up the hierarchy of perfection (the more perfect party always receives more love than is given), </w:t>
      </w:r>
      <w:proofErr w:type="spellStart"/>
      <w:r>
        <w:rPr>
          <w:rFonts w:eastAsia="Times New Roman" w:cs="Times New Roman"/>
        </w:rPr>
        <w:t>Crescas</w:t>
      </w:r>
      <w:proofErr w:type="spellEnd"/>
      <w:r>
        <w:rPr>
          <w:rFonts w:eastAsia="Times New Roman" w:cs="Times New Roman"/>
        </w:rPr>
        <w:t xml:space="preserve"> argues that love, originating in God, flows down the hierarchy of perfection (the more perfect party </w:t>
      </w:r>
      <w:r w:rsidRPr="00F6619E">
        <w:rPr>
          <w:rFonts w:eastAsia="Times New Roman" w:cs="Times New Roman"/>
          <w:i/>
        </w:rPr>
        <w:t>gives</w:t>
      </w:r>
      <w:r>
        <w:rPr>
          <w:rFonts w:eastAsia="Times New Roman" w:cs="Times New Roman"/>
        </w:rPr>
        <w:t xml:space="preserve"> </w:t>
      </w:r>
      <w:r>
        <w:rPr>
          <w:rFonts w:eastAsia="Times New Roman" w:cs="Times New Roman"/>
          <w:i/>
        </w:rPr>
        <w:t>more</w:t>
      </w:r>
      <w:r>
        <w:rPr>
          <w:rFonts w:eastAsia="Times New Roman" w:cs="Times New Roman"/>
        </w:rPr>
        <w:t xml:space="preserve"> love than is received).  As Zev Harvey puts it, “God’s love for the world is greate</w:t>
      </w:r>
      <w:r w:rsidR="00DA1073">
        <w:rPr>
          <w:rFonts w:eastAsia="Times New Roman" w:cs="Times New Roman"/>
        </w:rPr>
        <w:t>r than the world’s love for Him</w:t>
      </w:r>
      <w:r>
        <w:rPr>
          <w:rFonts w:eastAsia="Times New Roman" w:cs="Times New Roman"/>
        </w:rPr>
        <w:t>”</w:t>
      </w:r>
      <w:r w:rsidR="00DA1073">
        <w:rPr>
          <w:rFonts w:eastAsia="Times New Roman" w:cs="Times New Roman"/>
        </w:rPr>
        <w:t xml:space="preserve"> (1998: 111).</w:t>
      </w:r>
      <w:r>
        <w:rPr>
          <w:rFonts w:eastAsia="Times New Roman" w:cs="Times New Roman"/>
        </w:rPr>
        <w:t xml:space="preserve"> </w:t>
      </w:r>
      <w:r w:rsidR="00DA1073">
        <w:rPr>
          <w:rFonts w:eastAsia="Times New Roman" w:cs="Times New Roman"/>
        </w:rPr>
        <w:t xml:space="preserve"> </w:t>
      </w:r>
      <w:proofErr w:type="spellStart"/>
      <w:r>
        <w:rPr>
          <w:rFonts w:eastAsia="Times New Roman" w:cs="Times New Roman"/>
        </w:rPr>
        <w:t>Crescas</w:t>
      </w:r>
      <w:proofErr w:type="spellEnd"/>
      <w:r>
        <w:rPr>
          <w:rFonts w:eastAsia="Times New Roman" w:cs="Times New Roman"/>
        </w:rPr>
        <w:t xml:space="preserve"> demonstrates this by examining the love between the Patriarchs and God in scripture: </w:t>
      </w:r>
    </w:p>
    <w:p w14:paraId="6D8FD480" w14:textId="187788E5" w:rsidR="00E12BBB" w:rsidRPr="00297152" w:rsidRDefault="00E12BBB" w:rsidP="00954503">
      <w:pPr>
        <w:autoSpaceDE w:val="0"/>
        <w:autoSpaceDN w:val="0"/>
        <w:adjustRightInd w:val="0"/>
        <w:ind w:left="720"/>
        <w:rPr>
          <w:rFonts w:eastAsia="Times New Roman" w:cs="Times New Roman"/>
        </w:rPr>
      </w:pPr>
      <w:proofErr w:type="gramStart"/>
      <w:r>
        <w:rPr>
          <w:rFonts w:eastAsia="Times New Roman" w:cs="Times New Roman"/>
        </w:rPr>
        <w:t>when</w:t>
      </w:r>
      <w:proofErr w:type="gramEnd"/>
      <w:r>
        <w:rPr>
          <w:rFonts w:eastAsia="Times New Roman" w:cs="Times New Roman"/>
        </w:rPr>
        <w:t xml:space="preserve"> it mentions the love of the Patriarchs for God, it uses the term </w:t>
      </w:r>
      <w:proofErr w:type="spellStart"/>
      <w:r>
        <w:rPr>
          <w:rFonts w:eastAsia="Times New Roman" w:cs="Times New Roman"/>
          <w:i/>
        </w:rPr>
        <w:t>ahabah</w:t>
      </w:r>
      <w:proofErr w:type="spellEnd"/>
      <w:r>
        <w:rPr>
          <w:rFonts w:eastAsia="Times New Roman" w:cs="Times New Roman"/>
        </w:rPr>
        <w:t xml:space="preserve"> [love], saying “Abraham my loving friend” [Isaiah 41:8], and in the commandments it also uses </w:t>
      </w:r>
      <w:proofErr w:type="spellStart"/>
      <w:r>
        <w:rPr>
          <w:rFonts w:eastAsia="Times New Roman" w:cs="Times New Roman"/>
          <w:i/>
        </w:rPr>
        <w:t>ahabah</w:t>
      </w:r>
      <w:proofErr w:type="spellEnd"/>
      <w:r>
        <w:rPr>
          <w:rFonts w:eastAsia="Times New Roman" w:cs="Times New Roman"/>
        </w:rPr>
        <w:t xml:space="preserve"> [e.g., Deuteronomy 6:5], but when it mentions the love of God for the Patriarchs, it uses the term </w:t>
      </w:r>
      <w:proofErr w:type="spellStart"/>
      <w:r>
        <w:rPr>
          <w:rFonts w:eastAsia="Times New Roman" w:cs="Times New Roman"/>
          <w:i/>
        </w:rPr>
        <w:t>hesheq</w:t>
      </w:r>
      <w:proofErr w:type="spellEnd"/>
      <w:r>
        <w:rPr>
          <w:rFonts w:eastAsia="Times New Roman" w:cs="Times New Roman"/>
          <w:i/>
        </w:rPr>
        <w:t xml:space="preserve"> </w:t>
      </w:r>
      <w:r>
        <w:rPr>
          <w:rFonts w:eastAsia="Times New Roman" w:cs="Times New Roman"/>
        </w:rPr>
        <w:t>[passionate love], which indicates the strength of the love, saying “Yet the Lord did passionately love [</w:t>
      </w:r>
      <w:proofErr w:type="spellStart"/>
      <w:r>
        <w:rPr>
          <w:rFonts w:eastAsia="Times New Roman" w:cs="Times New Roman"/>
          <w:i/>
        </w:rPr>
        <w:t>hashaq</w:t>
      </w:r>
      <w:proofErr w:type="spellEnd"/>
      <w:r>
        <w:rPr>
          <w:rFonts w:eastAsia="Times New Roman" w:cs="Times New Roman"/>
        </w:rPr>
        <w:t>] the fathers” [Deuteronomy 10:15]</w:t>
      </w:r>
      <w:r w:rsidR="00DA1073">
        <w:rPr>
          <w:rFonts w:eastAsia="Times New Roman" w:cs="Times New Roman"/>
        </w:rPr>
        <w:t xml:space="preserve"> (</w:t>
      </w:r>
      <w:proofErr w:type="spellStart"/>
      <w:r w:rsidR="00DA1073">
        <w:rPr>
          <w:rFonts w:eastAsia="Times New Roman" w:cs="Times New Roman"/>
        </w:rPr>
        <w:t>Crescas</w:t>
      </w:r>
      <w:proofErr w:type="spellEnd"/>
      <w:r w:rsidR="00DA1073">
        <w:rPr>
          <w:rFonts w:eastAsia="Times New Roman" w:cs="Times New Roman"/>
        </w:rPr>
        <w:t>,</w:t>
      </w:r>
      <w:r w:rsidR="0005744D">
        <w:rPr>
          <w:rFonts w:eastAsia="Times New Roman" w:cs="Times New Roman"/>
        </w:rPr>
        <w:t xml:space="preserve"> </w:t>
      </w:r>
      <w:r w:rsidR="0005744D">
        <w:rPr>
          <w:rFonts w:eastAsia="Times New Roman" w:cs="Times New Roman"/>
          <w:i/>
        </w:rPr>
        <w:t xml:space="preserve">Or </w:t>
      </w:r>
      <w:proofErr w:type="spellStart"/>
      <w:r w:rsidR="0005744D">
        <w:rPr>
          <w:rFonts w:eastAsia="Times New Roman" w:cs="Times New Roman"/>
          <w:i/>
        </w:rPr>
        <w:t>Adonai</w:t>
      </w:r>
      <w:proofErr w:type="spellEnd"/>
      <w:r w:rsidR="0005744D">
        <w:rPr>
          <w:rFonts w:eastAsia="Times New Roman" w:cs="Times New Roman"/>
        </w:rPr>
        <w:t>,</w:t>
      </w:r>
      <w:r w:rsidR="00DA1073">
        <w:rPr>
          <w:rFonts w:eastAsia="Times New Roman" w:cs="Times New Roman"/>
        </w:rPr>
        <w:t xml:space="preserve"> II, 6, 1).</w:t>
      </w:r>
    </w:p>
    <w:p w14:paraId="41D82E22" w14:textId="5A94AD81" w:rsidR="00E12BBB" w:rsidRDefault="00E12BBB" w:rsidP="00954503">
      <w:pPr>
        <w:autoSpaceDE w:val="0"/>
        <w:autoSpaceDN w:val="0"/>
        <w:adjustRightInd w:val="0"/>
        <w:rPr>
          <w:rFonts w:eastAsia="Times New Roman" w:cs="Times New Roman"/>
        </w:rPr>
      </w:pPr>
      <w:r>
        <w:rPr>
          <w:rFonts w:eastAsia="Times New Roman" w:cs="Times New Roman"/>
        </w:rPr>
        <w:t>On the Aristotelian paradigm, one would expect the Patriarchs’ love for God to be of greater intensity than God’s love for the Patriarchs, but the opposite is true: “</w:t>
      </w:r>
      <w:proofErr w:type="spellStart"/>
      <w:r>
        <w:rPr>
          <w:rFonts w:eastAsia="Times New Roman" w:cs="Times New Roman"/>
          <w:i/>
        </w:rPr>
        <w:t>ahabah</w:t>
      </w:r>
      <w:proofErr w:type="spellEnd"/>
      <w:r>
        <w:rPr>
          <w:rFonts w:eastAsia="Times New Roman" w:cs="Times New Roman"/>
        </w:rPr>
        <w:t>,” the everyday word for love, describes the Patriarchs’ love for God, while “</w:t>
      </w:r>
      <w:proofErr w:type="spellStart"/>
      <w:r>
        <w:rPr>
          <w:rFonts w:eastAsia="Times New Roman" w:cs="Times New Roman"/>
          <w:i/>
        </w:rPr>
        <w:t>hesheq</w:t>
      </w:r>
      <w:proofErr w:type="spellEnd"/>
      <w:r>
        <w:rPr>
          <w:rFonts w:eastAsia="Times New Roman" w:cs="Times New Roman"/>
        </w:rPr>
        <w:t xml:space="preserve">,” denoting an exceedingly great love, describes God’s love for the Patriarchs.  The logic of </w:t>
      </w:r>
      <w:proofErr w:type="spellStart"/>
      <w:r>
        <w:rPr>
          <w:rFonts w:eastAsia="Times New Roman" w:cs="Times New Roman"/>
        </w:rPr>
        <w:t>Crescas’s</w:t>
      </w:r>
      <w:proofErr w:type="spellEnd"/>
      <w:r>
        <w:rPr>
          <w:rFonts w:eastAsia="Times New Roman" w:cs="Times New Roman"/>
        </w:rPr>
        <w:t xml:space="preserve"> claim is the exact opposite of Aristotle’s: God is perfect, so God loves perfectly</w:t>
      </w:r>
      <w:r w:rsidR="00871F24">
        <w:rPr>
          <w:rFonts w:eastAsia="Times New Roman" w:cs="Times New Roman"/>
        </w:rPr>
        <w:t>.</w:t>
      </w:r>
    </w:p>
    <w:p w14:paraId="1D6E9D1B" w14:textId="34832C9D" w:rsidR="00E12BBB" w:rsidRDefault="00E12BBB" w:rsidP="00954503">
      <w:pPr>
        <w:autoSpaceDE w:val="0"/>
        <w:autoSpaceDN w:val="0"/>
        <w:adjustRightInd w:val="0"/>
        <w:rPr>
          <w:rFonts w:eastAsia="Times New Roman" w:cs="Times New Roman"/>
        </w:rPr>
      </w:pPr>
      <w:r>
        <w:rPr>
          <w:rFonts w:eastAsia="Times New Roman" w:cs="Times New Roman"/>
        </w:rPr>
        <w:tab/>
        <w:t xml:space="preserve">By linking God’s power with love, </w:t>
      </w:r>
      <w:proofErr w:type="spellStart"/>
      <w:r>
        <w:rPr>
          <w:rFonts w:eastAsia="Times New Roman" w:cs="Times New Roman"/>
        </w:rPr>
        <w:t>Crescas</w:t>
      </w:r>
      <w:proofErr w:type="spellEnd"/>
      <w:r>
        <w:rPr>
          <w:rFonts w:eastAsia="Times New Roman" w:cs="Times New Roman"/>
        </w:rPr>
        <w:t xml:space="preserve"> develops a concept of cre</w:t>
      </w:r>
      <w:r w:rsidR="0090229D">
        <w:rPr>
          <w:rFonts w:eastAsia="Times New Roman" w:cs="Times New Roman"/>
        </w:rPr>
        <w:t>ation as an act of “overflowing</w:t>
      </w:r>
      <w:r>
        <w:rPr>
          <w:rFonts w:eastAsia="Times New Roman" w:cs="Times New Roman"/>
        </w:rPr>
        <w:t xml:space="preserve"> love.</w:t>
      </w:r>
      <w:r w:rsidR="0090229D">
        <w:rPr>
          <w:rFonts w:eastAsia="Times New Roman" w:cs="Times New Roman"/>
        </w:rPr>
        <w:t>”</w:t>
      </w:r>
      <w:r>
        <w:rPr>
          <w:rFonts w:eastAsia="Times New Roman" w:cs="Times New Roman"/>
        </w:rPr>
        <w:t xml:space="preserve">  God, who finds joy in his own will, rejoices in causing his goodness and love to “overflow” onto creation.  </w:t>
      </w:r>
      <w:proofErr w:type="spellStart"/>
      <w:r>
        <w:rPr>
          <w:rFonts w:eastAsia="Times New Roman" w:cs="Times New Roman"/>
        </w:rPr>
        <w:t>Crescas</w:t>
      </w:r>
      <w:proofErr w:type="spellEnd"/>
      <w:r>
        <w:rPr>
          <w:rFonts w:eastAsia="Times New Roman" w:cs="Times New Roman"/>
        </w:rPr>
        <w:t xml:space="preserve"> is worth quoting at length here:</w:t>
      </w:r>
    </w:p>
    <w:p w14:paraId="54BC9087" w14:textId="28F814F8" w:rsidR="00E12BBB" w:rsidRDefault="00E12BBB" w:rsidP="00954503">
      <w:pPr>
        <w:autoSpaceDE w:val="0"/>
        <w:autoSpaceDN w:val="0"/>
        <w:adjustRightInd w:val="0"/>
        <w:ind w:left="720"/>
        <w:rPr>
          <w:rFonts w:eastAsia="Times New Roman" w:cs="Times New Roman"/>
        </w:rPr>
      </w:pPr>
      <w:r>
        <w:rPr>
          <w:rFonts w:eastAsia="Times New Roman" w:cs="Times New Roman"/>
        </w:rPr>
        <w:t xml:space="preserve">[Since] it has been demonstrated true beyond doubt that God is the true Agent of all existing things intentionally and voluntarily, and sustains their existence through the overflowing of His goodness perpetually, and thus the Rabbis fixed the benediction, “He creates in His goodness each day continuously the Work of Creation”… it follows that in His intentionally and voluntarily causing His goodness and perfection to overflow, He necessarily loves the increasing of goodness and the causing of his goodness to overflow.  And love is nothing other than pleasure in his will, and this is the true joy, as it is said, “Let the Lord rejoice in his works” [Psalm 104:31].  This states explicitly the joy is in His works, that is, it is in His causing His goodness to overflow unto them by His sustaining their existence continuously in the most perfect of ways.  In this regard, our Rabbis of blessed memory said in </w:t>
      </w:r>
      <w:r>
        <w:rPr>
          <w:rFonts w:eastAsia="Times New Roman" w:cs="Times New Roman"/>
        </w:rPr>
        <w:lastRenderedPageBreak/>
        <w:t>several places that the Holy One, blessed be He, “lusts for the prayer</w:t>
      </w:r>
      <w:r w:rsidR="00890567">
        <w:rPr>
          <w:rFonts w:eastAsia="Times New Roman" w:cs="Times New Roman"/>
        </w:rPr>
        <w:t>s</w:t>
      </w:r>
      <w:r>
        <w:rPr>
          <w:rFonts w:eastAsia="Times New Roman" w:cs="Times New Roman"/>
        </w:rPr>
        <w:t xml:space="preserve"> of righteous individuals”</w:t>
      </w:r>
      <w:r w:rsidR="00DA1073">
        <w:rPr>
          <w:rFonts w:eastAsia="Times New Roman" w:cs="Times New Roman"/>
        </w:rPr>
        <w:t xml:space="preserve"> (</w:t>
      </w:r>
      <w:proofErr w:type="spellStart"/>
      <w:r w:rsidR="00DA1073">
        <w:rPr>
          <w:rFonts w:eastAsia="Times New Roman" w:cs="Times New Roman"/>
        </w:rPr>
        <w:t>Crescas</w:t>
      </w:r>
      <w:proofErr w:type="spellEnd"/>
      <w:r w:rsidR="0005744D">
        <w:rPr>
          <w:rFonts w:eastAsia="Times New Roman" w:cs="Times New Roman"/>
        </w:rPr>
        <w:t>,</w:t>
      </w:r>
      <w:r w:rsidR="00DA1073">
        <w:rPr>
          <w:rFonts w:eastAsia="Times New Roman" w:cs="Times New Roman"/>
        </w:rPr>
        <w:t xml:space="preserve"> </w:t>
      </w:r>
      <w:r w:rsidR="0005744D">
        <w:rPr>
          <w:rFonts w:eastAsia="Times New Roman" w:cs="Times New Roman"/>
          <w:i/>
        </w:rPr>
        <w:t xml:space="preserve">Or </w:t>
      </w:r>
      <w:proofErr w:type="spellStart"/>
      <w:r w:rsidR="0005744D">
        <w:rPr>
          <w:rFonts w:eastAsia="Times New Roman" w:cs="Times New Roman"/>
          <w:i/>
        </w:rPr>
        <w:t>Adonai</w:t>
      </w:r>
      <w:proofErr w:type="spellEnd"/>
      <w:r w:rsidR="0005744D">
        <w:rPr>
          <w:rFonts w:eastAsia="Times New Roman" w:cs="Times New Roman"/>
        </w:rPr>
        <w:t>,</w:t>
      </w:r>
      <w:r w:rsidR="00DA1073">
        <w:rPr>
          <w:rFonts w:eastAsia="Times New Roman" w:cs="Times New Roman"/>
        </w:rPr>
        <w:t xml:space="preserve"> I, 3, 5).</w:t>
      </w:r>
    </w:p>
    <w:p w14:paraId="13134F6C" w14:textId="1B66DE55" w:rsidR="00E12BBB" w:rsidRDefault="00E12BBB" w:rsidP="00954503">
      <w:pPr>
        <w:rPr>
          <w:rFonts w:eastAsia="Times New Roman" w:cs="Times New Roman"/>
        </w:rPr>
      </w:pPr>
      <w:r>
        <w:rPr>
          <w:rFonts w:eastAsia="Times New Roman" w:cs="Times New Roman"/>
        </w:rPr>
        <w:t xml:space="preserve">God loves causing His goodness to “overflow” onto creation, and thus “rejoices” in </w:t>
      </w:r>
      <w:r>
        <w:rPr>
          <w:rFonts w:eastAsia="Times New Roman" w:cs="Times New Roman"/>
          <w:i/>
        </w:rPr>
        <w:t>creating</w:t>
      </w:r>
      <w:r>
        <w:rPr>
          <w:rFonts w:eastAsia="Times New Roman" w:cs="Times New Roman"/>
        </w:rPr>
        <w:t xml:space="preserve">, which, as a supreme act of power, is also a supreme act of love.  In God’s great love for creation, </w:t>
      </w:r>
      <w:proofErr w:type="spellStart"/>
      <w:r>
        <w:rPr>
          <w:rFonts w:eastAsia="Times New Roman" w:cs="Times New Roman"/>
        </w:rPr>
        <w:t>Crescas</w:t>
      </w:r>
      <w:proofErr w:type="spellEnd"/>
      <w:r>
        <w:rPr>
          <w:rFonts w:eastAsia="Times New Roman" w:cs="Times New Roman"/>
        </w:rPr>
        <w:t xml:space="preserve"> situates the rabbinical claim that God “lusts for the prayers of righteous individuals”—a claim that makes absolutely no sense on an Aristotelian notion of love.  For </w:t>
      </w:r>
      <w:proofErr w:type="spellStart"/>
      <w:r>
        <w:rPr>
          <w:rFonts w:eastAsia="Times New Roman" w:cs="Times New Roman"/>
        </w:rPr>
        <w:t>Crescas</w:t>
      </w:r>
      <w:proofErr w:type="spellEnd"/>
      <w:r>
        <w:rPr>
          <w:rFonts w:eastAsia="Times New Roman" w:cs="Times New Roman"/>
        </w:rPr>
        <w:t>, all of creati</w:t>
      </w:r>
      <w:r w:rsidR="002D4F93">
        <w:rPr>
          <w:rFonts w:eastAsia="Times New Roman" w:cs="Times New Roman"/>
        </w:rPr>
        <w:t>on is suffused with divine love</w:t>
      </w:r>
      <w:r>
        <w:rPr>
          <w:rFonts w:eastAsia="Times New Roman" w:cs="Times New Roman"/>
        </w:rPr>
        <w:t xml:space="preserve">: “We may now envision </w:t>
      </w:r>
      <w:proofErr w:type="spellStart"/>
      <w:r>
        <w:rPr>
          <w:rFonts w:eastAsia="Times New Roman" w:cs="Times New Roman"/>
        </w:rPr>
        <w:t>Crescas</w:t>
      </w:r>
      <w:proofErr w:type="spellEnd"/>
      <w:r>
        <w:rPr>
          <w:rFonts w:eastAsia="Times New Roman" w:cs="Times New Roman"/>
        </w:rPr>
        <w:t>’ infinite spatiotemporal universe as pulsing with love.  Its infinite worlds are generated in love, sustained</w:t>
      </w:r>
      <w:r w:rsidR="00DA1073">
        <w:rPr>
          <w:rFonts w:eastAsia="Times New Roman" w:cs="Times New Roman"/>
        </w:rPr>
        <w:t xml:space="preserve"> in love, and perfected in love</w:t>
      </w:r>
      <w:r>
        <w:rPr>
          <w:rFonts w:eastAsia="Times New Roman" w:cs="Times New Roman"/>
        </w:rPr>
        <w:t>”</w:t>
      </w:r>
      <w:r w:rsidR="00DA1073">
        <w:rPr>
          <w:rFonts w:eastAsia="Times New Roman" w:cs="Times New Roman"/>
        </w:rPr>
        <w:t xml:space="preserve"> (Zev Harvey 1998: 113).</w:t>
      </w:r>
      <w:r w:rsidR="002D4F93">
        <w:rPr>
          <w:rFonts w:eastAsia="Times New Roman" w:cs="Times New Roman"/>
        </w:rPr>
        <w:t xml:space="preserve"> </w:t>
      </w:r>
    </w:p>
    <w:p w14:paraId="2BC130D4" w14:textId="25E6587A" w:rsidR="00D47340" w:rsidRDefault="00CF7620" w:rsidP="00954503">
      <w:pPr>
        <w:rPr>
          <w:rFonts w:eastAsia="Times New Roman" w:cs="Times New Roman"/>
        </w:rPr>
      </w:pPr>
      <w:r>
        <w:rPr>
          <w:rFonts w:eastAsia="Times New Roman" w:cs="Times New Roman"/>
        </w:rPr>
        <w:tab/>
      </w:r>
      <w:proofErr w:type="spellStart"/>
      <w:r>
        <w:rPr>
          <w:rFonts w:eastAsia="Times New Roman" w:cs="Times New Roman"/>
        </w:rPr>
        <w:t>Crescas’</w:t>
      </w:r>
      <w:r w:rsidR="00BD0B21">
        <w:rPr>
          <w:rFonts w:eastAsia="Times New Roman" w:cs="Times New Roman"/>
        </w:rPr>
        <w:t>s</w:t>
      </w:r>
      <w:proofErr w:type="spellEnd"/>
      <w:r>
        <w:rPr>
          <w:rFonts w:eastAsia="Times New Roman" w:cs="Times New Roman"/>
        </w:rPr>
        <w:t xml:space="preserve"> insights on love are useful in </w:t>
      </w:r>
      <w:r w:rsidR="00BD0B21">
        <w:rPr>
          <w:rFonts w:eastAsia="Times New Roman" w:cs="Times New Roman"/>
        </w:rPr>
        <w:t>expanding</w:t>
      </w:r>
      <w:r>
        <w:rPr>
          <w:rFonts w:eastAsia="Times New Roman" w:cs="Times New Roman"/>
        </w:rPr>
        <w:t xml:space="preserve"> the Gospel of John’s hermeneutic of encounter.  We should always be cognizant of the historical distance separating the </w:t>
      </w:r>
      <w:proofErr w:type="spellStart"/>
      <w:r>
        <w:rPr>
          <w:rFonts w:eastAsia="Times New Roman" w:cs="Times New Roman"/>
        </w:rPr>
        <w:t>Johannine</w:t>
      </w:r>
      <w:proofErr w:type="spellEnd"/>
      <w:r>
        <w:rPr>
          <w:rFonts w:eastAsia="Times New Roman" w:cs="Times New Roman"/>
        </w:rPr>
        <w:t xml:space="preserve"> community from</w:t>
      </w:r>
      <w:r w:rsidR="00210387">
        <w:rPr>
          <w:rFonts w:eastAsia="Times New Roman" w:cs="Times New Roman"/>
        </w:rPr>
        <w:t xml:space="preserve"> </w:t>
      </w:r>
      <w:proofErr w:type="spellStart"/>
      <w:r w:rsidR="00210387">
        <w:rPr>
          <w:rFonts w:eastAsia="Times New Roman" w:cs="Times New Roman"/>
        </w:rPr>
        <w:t>Crescas</w:t>
      </w:r>
      <w:proofErr w:type="spellEnd"/>
      <w:r w:rsidR="00210387">
        <w:rPr>
          <w:rFonts w:eastAsia="Times New Roman" w:cs="Times New Roman"/>
        </w:rPr>
        <w:t xml:space="preserve">; nonetheless, </w:t>
      </w:r>
      <w:proofErr w:type="spellStart"/>
      <w:r w:rsidR="00210387">
        <w:rPr>
          <w:rFonts w:eastAsia="Times New Roman" w:cs="Times New Roman"/>
        </w:rPr>
        <w:t>Crescas</w:t>
      </w:r>
      <w:proofErr w:type="spellEnd"/>
      <w:r w:rsidR="00210387">
        <w:rPr>
          <w:rFonts w:eastAsia="Times New Roman" w:cs="Times New Roman"/>
        </w:rPr>
        <w:t xml:space="preserve"> </w:t>
      </w:r>
      <w:r>
        <w:rPr>
          <w:rFonts w:eastAsia="Times New Roman" w:cs="Times New Roman"/>
        </w:rPr>
        <w:t>help</w:t>
      </w:r>
      <w:r w:rsidR="008C3552">
        <w:rPr>
          <w:rFonts w:eastAsia="Times New Roman" w:cs="Times New Roman"/>
        </w:rPr>
        <w:t>s</w:t>
      </w:r>
      <w:r>
        <w:rPr>
          <w:rFonts w:eastAsia="Times New Roman" w:cs="Times New Roman"/>
        </w:rPr>
        <w:t xml:space="preserve"> us to see some of the implications of John’s Gospel.  More specifically, </w:t>
      </w:r>
      <w:proofErr w:type="spellStart"/>
      <w:r>
        <w:rPr>
          <w:rFonts w:eastAsia="Times New Roman" w:cs="Times New Roman"/>
        </w:rPr>
        <w:t>Crescas</w:t>
      </w:r>
      <w:r w:rsidR="00BD0B21">
        <w:rPr>
          <w:rFonts w:eastAsia="Times New Roman" w:cs="Times New Roman"/>
        </w:rPr>
        <w:t>’s</w:t>
      </w:r>
      <w:proofErr w:type="spellEnd"/>
      <w:r>
        <w:rPr>
          <w:rFonts w:eastAsia="Times New Roman" w:cs="Times New Roman"/>
        </w:rPr>
        <w:t xml:space="preserve"> notion of  “an infinite spatiotemporal universe</w:t>
      </w:r>
      <w:r w:rsidR="00A96E92">
        <w:rPr>
          <w:rFonts w:eastAsia="Times New Roman" w:cs="Times New Roman"/>
        </w:rPr>
        <w:t>…</w:t>
      </w:r>
      <w:r>
        <w:rPr>
          <w:rFonts w:eastAsia="Times New Roman" w:cs="Times New Roman"/>
        </w:rPr>
        <w:t xml:space="preserve"> </w:t>
      </w:r>
      <w:r w:rsidR="00A96E92">
        <w:rPr>
          <w:rFonts w:eastAsia="Times New Roman" w:cs="Times New Roman"/>
        </w:rPr>
        <w:t>generated in love, sustained in love, and perfected in love</w:t>
      </w:r>
      <w:r>
        <w:rPr>
          <w:rFonts w:eastAsia="Times New Roman" w:cs="Times New Roman"/>
        </w:rPr>
        <w:t xml:space="preserve">” </w:t>
      </w:r>
      <w:r w:rsidR="00210387">
        <w:rPr>
          <w:rFonts w:eastAsia="Times New Roman" w:cs="Times New Roman"/>
        </w:rPr>
        <w:t xml:space="preserve">allows for a </w:t>
      </w:r>
      <w:r>
        <w:rPr>
          <w:rFonts w:eastAsia="Times New Roman" w:cs="Times New Roman"/>
        </w:rPr>
        <w:t>connect</w:t>
      </w:r>
      <w:r w:rsidR="00210387">
        <w:rPr>
          <w:rFonts w:eastAsia="Times New Roman" w:cs="Times New Roman"/>
        </w:rPr>
        <w:t>ion between</w:t>
      </w:r>
      <w:r>
        <w:rPr>
          <w:rFonts w:eastAsia="Times New Roman" w:cs="Times New Roman"/>
        </w:rPr>
        <w:t xml:space="preserve"> the Eucharist, which</w:t>
      </w:r>
      <w:r w:rsidR="00210387">
        <w:rPr>
          <w:rFonts w:eastAsia="Times New Roman" w:cs="Times New Roman"/>
        </w:rPr>
        <w:t xml:space="preserve"> is the paradigmatic expression of love in John, </w:t>
      </w:r>
      <w:r w:rsidR="00684A04">
        <w:rPr>
          <w:rFonts w:eastAsia="Times New Roman" w:cs="Times New Roman"/>
        </w:rPr>
        <w:t>and</w:t>
      </w:r>
      <w:r w:rsidR="00210387">
        <w:rPr>
          <w:rFonts w:eastAsia="Times New Roman" w:cs="Times New Roman"/>
        </w:rPr>
        <w:t xml:space="preserve"> creation, which is the paradigmatic expression of love for </w:t>
      </w:r>
      <w:proofErr w:type="spellStart"/>
      <w:r w:rsidR="00210387">
        <w:rPr>
          <w:rFonts w:eastAsia="Times New Roman" w:cs="Times New Roman"/>
        </w:rPr>
        <w:t>Crescas</w:t>
      </w:r>
      <w:proofErr w:type="spellEnd"/>
      <w:r w:rsidR="00210387">
        <w:rPr>
          <w:rFonts w:eastAsia="Times New Roman" w:cs="Times New Roman"/>
        </w:rPr>
        <w:t>.  This would not displace the Eucharist but intertwine it with creation—</w:t>
      </w:r>
      <w:r w:rsidR="00C32318">
        <w:rPr>
          <w:rFonts w:eastAsia="Times New Roman" w:cs="Times New Roman"/>
        </w:rPr>
        <w:t xml:space="preserve">two events, </w:t>
      </w:r>
      <w:r w:rsidR="00A96E92">
        <w:rPr>
          <w:rFonts w:eastAsia="Times New Roman" w:cs="Times New Roman"/>
        </w:rPr>
        <w:t xml:space="preserve">indefinitely repeated, </w:t>
      </w:r>
      <w:r w:rsidR="00C32318">
        <w:rPr>
          <w:rFonts w:eastAsia="Times New Roman" w:cs="Times New Roman"/>
        </w:rPr>
        <w:t>both</w:t>
      </w:r>
      <w:r w:rsidR="00210387">
        <w:rPr>
          <w:rFonts w:eastAsia="Times New Roman" w:cs="Times New Roman"/>
        </w:rPr>
        <w:t xml:space="preserve"> </w:t>
      </w:r>
      <w:r w:rsidR="00C32318">
        <w:rPr>
          <w:rFonts w:eastAsia="Times New Roman" w:cs="Times New Roman"/>
        </w:rPr>
        <w:t>consequences</w:t>
      </w:r>
      <w:r w:rsidR="00210387">
        <w:rPr>
          <w:rFonts w:eastAsia="Times New Roman" w:cs="Times New Roman"/>
        </w:rPr>
        <w:t xml:space="preserve"> of God’s love.</w:t>
      </w:r>
      <w:r w:rsidR="0090229D">
        <w:rPr>
          <w:rStyle w:val="FootnoteReference"/>
          <w:rFonts w:eastAsia="Times New Roman" w:cs="Times New Roman"/>
        </w:rPr>
        <w:footnoteReference w:id="12"/>
      </w:r>
      <w:r w:rsidR="00210387">
        <w:rPr>
          <w:rFonts w:eastAsia="Times New Roman" w:cs="Times New Roman"/>
        </w:rPr>
        <w:t xml:space="preserve">  It also raises the possibility that the God of love may be encountered </w:t>
      </w:r>
      <w:r w:rsidR="00C32318">
        <w:rPr>
          <w:rFonts w:eastAsia="Times New Roman" w:cs="Times New Roman"/>
        </w:rPr>
        <w:t xml:space="preserve">authentically </w:t>
      </w:r>
      <w:r w:rsidR="00210387">
        <w:rPr>
          <w:rFonts w:eastAsia="Times New Roman" w:cs="Times New Roman"/>
        </w:rPr>
        <w:t>outside</w:t>
      </w:r>
      <w:r w:rsidR="00BD0B21">
        <w:rPr>
          <w:rFonts w:eastAsia="Times New Roman" w:cs="Times New Roman"/>
        </w:rPr>
        <w:t xml:space="preserve"> of a single religious tradition, for the entire universe is an act of love. </w:t>
      </w:r>
      <w:r w:rsidR="00137BAE">
        <w:rPr>
          <w:rFonts w:eastAsia="Times New Roman" w:cs="Times New Roman"/>
        </w:rPr>
        <w:t xml:space="preserve"> Yet one wonders how such encounters occur.  How could I, as a Christian, authentically encounter God in Islam without </w:t>
      </w:r>
      <w:r w:rsidR="00D56F21">
        <w:rPr>
          <w:rFonts w:eastAsia="Times New Roman" w:cs="Times New Roman"/>
        </w:rPr>
        <w:t>effectively abandoning my commitment to Christianity</w:t>
      </w:r>
      <w:r w:rsidR="00137BAE">
        <w:rPr>
          <w:rFonts w:eastAsia="Times New Roman" w:cs="Times New Roman"/>
        </w:rPr>
        <w:t>?</w:t>
      </w:r>
    </w:p>
    <w:p w14:paraId="35875B38" w14:textId="66718C39" w:rsidR="001F0304" w:rsidRDefault="002469DA" w:rsidP="00954503">
      <w:pPr>
        <w:rPr>
          <w:rFonts w:eastAsia="Times New Roman" w:cs="Times New Roman"/>
        </w:rPr>
      </w:pPr>
      <w:r>
        <w:rPr>
          <w:rFonts w:eastAsia="Times New Roman" w:cs="Times New Roman"/>
        </w:rPr>
        <w:tab/>
        <w:t>Of the three Abrahamic faiths, Islam is</w:t>
      </w:r>
      <w:r w:rsidR="007E3A38">
        <w:rPr>
          <w:rFonts w:eastAsia="Times New Roman" w:cs="Times New Roman"/>
        </w:rPr>
        <w:t xml:space="preserve"> most explicit about </w:t>
      </w:r>
      <w:r w:rsidR="00000161">
        <w:rPr>
          <w:rFonts w:eastAsia="Times New Roman" w:cs="Times New Roman"/>
        </w:rPr>
        <w:t>the necessity of navigating</w:t>
      </w:r>
      <w:r w:rsidR="007E3A38">
        <w:rPr>
          <w:rFonts w:eastAsia="Times New Roman" w:cs="Times New Roman"/>
        </w:rPr>
        <w:t xml:space="preserve"> religious difference</w:t>
      </w:r>
      <w:r w:rsidR="00000161">
        <w:rPr>
          <w:rFonts w:eastAsia="Times New Roman" w:cs="Times New Roman"/>
        </w:rPr>
        <w:t>s</w:t>
      </w:r>
      <w:r w:rsidR="007E3A38">
        <w:rPr>
          <w:rFonts w:eastAsia="Times New Roman" w:cs="Times New Roman"/>
        </w:rPr>
        <w:t xml:space="preserve">.  The Quran is </w:t>
      </w:r>
      <w:r w:rsidR="00470281">
        <w:rPr>
          <w:rFonts w:eastAsia="Times New Roman" w:cs="Times New Roman"/>
        </w:rPr>
        <w:t>clear</w:t>
      </w:r>
      <w:r w:rsidR="001F0304">
        <w:rPr>
          <w:rFonts w:eastAsia="Times New Roman" w:cs="Times New Roman"/>
        </w:rPr>
        <w:t xml:space="preserve"> that Islam, Christianity, and Judaism contain the same essential</w:t>
      </w:r>
      <w:r w:rsidR="007E3A38">
        <w:rPr>
          <w:rFonts w:eastAsia="Times New Roman" w:cs="Times New Roman"/>
        </w:rPr>
        <w:t xml:space="preserve"> “tru</w:t>
      </w:r>
      <w:r w:rsidR="001F0304">
        <w:rPr>
          <w:rFonts w:eastAsia="Times New Roman" w:cs="Times New Roman"/>
        </w:rPr>
        <w:t xml:space="preserve">th”: </w:t>
      </w:r>
    </w:p>
    <w:p w14:paraId="74048F47" w14:textId="60EFABA7" w:rsidR="001F0304" w:rsidRDefault="001F0304" w:rsidP="00954503">
      <w:pPr>
        <w:ind w:left="720"/>
        <w:rPr>
          <w:rFonts w:eastAsia="Times New Roman" w:cs="Times New Roman"/>
        </w:rPr>
      </w:pPr>
      <w:r>
        <w:rPr>
          <w:rFonts w:eastAsia="Times New Roman" w:cs="Times New Roman"/>
        </w:rPr>
        <w:t>Say “We believe in God, and in that which was sent down unto us, and in that which was sent down unto Abraham, Ishmael, Isaac, Jacob, and the Tribes, and in what Moses and Jesus were given, and in what the prophets were given from their Lord.  We make no distinction among any of them, and unto Him we submit”</w:t>
      </w:r>
      <w:r w:rsidR="009547C2">
        <w:rPr>
          <w:rFonts w:eastAsia="Times New Roman" w:cs="Times New Roman"/>
        </w:rPr>
        <w:t xml:space="preserve"> </w:t>
      </w:r>
      <w:r>
        <w:rPr>
          <w:rFonts w:eastAsia="Times New Roman" w:cs="Times New Roman"/>
        </w:rPr>
        <w:t xml:space="preserve">(2:136).  </w:t>
      </w:r>
    </w:p>
    <w:p w14:paraId="3C9ACEFB" w14:textId="77777777" w:rsidR="001F0304" w:rsidRDefault="009772B8" w:rsidP="00954503">
      <w:pPr>
        <w:rPr>
          <w:rFonts w:eastAsia="Times New Roman" w:cs="Times New Roman"/>
        </w:rPr>
      </w:pPr>
      <w:r>
        <w:rPr>
          <w:rFonts w:eastAsia="Times New Roman" w:cs="Times New Roman"/>
        </w:rPr>
        <w:t>More broadly, religious diversity is regarded as</w:t>
      </w:r>
      <w:r w:rsidR="009547C2">
        <w:rPr>
          <w:rFonts w:eastAsia="Times New Roman" w:cs="Times New Roman"/>
        </w:rPr>
        <w:t xml:space="preserve"> </w:t>
      </w:r>
      <w:r>
        <w:rPr>
          <w:rFonts w:eastAsia="Times New Roman" w:cs="Times New Roman"/>
        </w:rPr>
        <w:t xml:space="preserve">an intrinsic feature of God’s creation: </w:t>
      </w:r>
    </w:p>
    <w:p w14:paraId="04CA3755" w14:textId="6599116A" w:rsidR="001F0304" w:rsidRDefault="00F4302C" w:rsidP="00954503">
      <w:pPr>
        <w:ind w:left="720"/>
        <w:rPr>
          <w:rFonts w:eastAsia="Times New Roman" w:cs="Times New Roman"/>
        </w:rPr>
      </w:pPr>
      <w:r>
        <w:rPr>
          <w:rFonts w:eastAsia="Times New Roman" w:cs="Times New Roman"/>
        </w:rPr>
        <w:t>For each among you</w:t>
      </w:r>
      <w:r w:rsidR="000079E5">
        <w:rPr>
          <w:rFonts w:eastAsia="Times New Roman" w:cs="Times New Roman"/>
        </w:rPr>
        <w:t xml:space="preserve"> </w:t>
      </w:r>
      <w:proofErr w:type="gramStart"/>
      <w:r>
        <w:rPr>
          <w:rFonts w:eastAsia="Times New Roman" w:cs="Times New Roman"/>
        </w:rPr>
        <w:t>We</w:t>
      </w:r>
      <w:proofErr w:type="gramEnd"/>
      <w:r>
        <w:rPr>
          <w:rFonts w:eastAsia="Times New Roman" w:cs="Times New Roman"/>
        </w:rPr>
        <w:t xml:space="preserve"> have appointed a law and a way.  And had God willed</w:t>
      </w:r>
      <w:proofErr w:type="gramStart"/>
      <w:r>
        <w:rPr>
          <w:rFonts w:eastAsia="Times New Roman" w:cs="Times New Roman"/>
        </w:rPr>
        <w:t>,</w:t>
      </w:r>
      <w:proofErr w:type="gramEnd"/>
      <w:r>
        <w:rPr>
          <w:rFonts w:eastAsia="Times New Roman" w:cs="Times New Roman"/>
        </w:rPr>
        <w:t xml:space="preserve"> He would have made you one community, but [He willed otherwise], that He might try you in that which he has given you</w:t>
      </w:r>
      <w:r w:rsidR="001F0304">
        <w:rPr>
          <w:rFonts w:eastAsia="Times New Roman" w:cs="Times New Roman"/>
        </w:rPr>
        <w:t>.  So vie with one another in good deeds.  Unto God shall be your return all together, and He will inform you of that wherein you differ</w:t>
      </w:r>
      <w:r>
        <w:rPr>
          <w:rFonts w:eastAsia="Times New Roman" w:cs="Times New Roman"/>
        </w:rPr>
        <w:t xml:space="preserve"> (5:48).</w:t>
      </w:r>
    </w:p>
    <w:p w14:paraId="3E2AF3B3" w14:textId="6B65DEF7" w:rsidR="001F0304" w:rsidRDefault="00A96E92" w:rsidP="00954503">
      <w:pPr>
        <w:rPr>
          <w:rFonts w:eastAsia="Times New Roman" w:cs="Times New Roman"/>
        </w:rPr>
      </w:pPr>
      <w:r>
        <w:rPr>
          <w:rFonts w:eastAsia="Times New Roman" w:cs="Times New Roman"/>
        </w:rPr>
        <w:t>Although</w:t>
      </w:r>
      <w:r w:rsidR="002F0D22">
        <w:rPr>
          <w:rFonts w:eastAsia="Times New Roman" w:cs="Times New Roman"/>
        </w:rPr>
        <w:t xml:space="preserve"> the Abrahamic religions are united in their sub</w:t>
      </w:r>
      <w:r>
        <w:rPr>
          <w:rFonts w:eastAsia="Times New Roman" w:cs="Times New Roman"/>
        </w:rPr>
        <w:t>mission to the one God, the Qur</w:t>
      </w:r>
      <w:r w:rsidR="002F0D22">
        <w:rPr>
          <w:rFonts w:eastAsia="Times New Roman" w:cs="Times New Roman"/>
        </w:rPr>
        <w:t>an</w:t>
      </w:r>
      <w:r w:rsidR="001F0304">
        <w:rPr>
          <w:rFonts w:eastAsia="Times New Roman" w:cs="Times New Roman"/>
        </w:rPr>
        <w:t xml:space="preserve"> does not negate the particularit</w:t>
      </w:r>
      <w:r w:rsidR="002F0D22">
        <w:rPr>
          <w:rFonts w:eastAsia="Times New Roman" w:cs="Times New Roman"/>
        </w:rPr>
        <w:t xml:space="preserve">y of the </w:t>
      </w:r>
      <w:r w:rsidR="001D0659">
        <w:rPr>
          <w:rFonts w:eastAsia="Times New Roman" w:cs="Times New Roman"/>
        </w:rPr>
        <w:t xml:space="preserve">People </w:t>
      </w:r>
      <w:r w:rsidR="002F0D22">
        <w:rPr>
          <w:rFonts w:eastAsia="Times New Roman" w:cs="Times New Roman"/>
        </w:rPr>
        <w:t xml:space="preserve">of the Book.  Christians will be </w:t>
      </w:r>
      <w:r w:rsidR="002F0D22">
        <w:rPr>
          <w:rFonts w:eastAsia="Times New Roman" w:cs="Times New Roman"/>
        </w:rPr>
        <w:lastRenderedPageBreak/>
        <w:t>judged according to the s</w:t>
      </w:r>
      <w:r w:rsidR="00370B32">
        <w:rPr>
          <w:rFonts w:eastAsia="Times New Roman" w:cs="Times New Roman"/>
        </w:rPr>
        <w:t>tandard of Christian revelation</w:t>
      </w:r>
      <w:r w:rsidR="00DB504C">
        <w:rPr>
          <w:rFonts w:eastAsia="Times New Roman" w:cs="Times New Roman"/>
        </w:rPr>
        <w:t xml:space="preserve"> (</w:t>
      </w:r>
      <w:proofErr w:type="spellStart"/>
      <w:r w:rsidR="00DB504C" w:rsidRPr="00DB504C">
        <w:rPr>
          <w:rFonts w:eastAsia="Times New Roman" w:cs="Times New Roman"/>
          <w:i/>
        </w:rPr>
        <w:t>Injil</w:t>
      </w:r>
      <w:proofErr w:type="spellEnd"/>
      <w:r w:rsidR="00DB504C">
        <w:rPr>
          <w:rFonts w:eastAsia="Times New Roman" w:cs="Times New Roman"/>
        </w:rPr>
        <w:t>)</w:t>
      </w:r>
      <w:r w:rsidR="00370B32">
        <w:rPr>
          <w:rFonts w:eastAsia="Times New Roman" w:cs="Times New Roman"/>
        </w:rPr>
        <w:t>,</w:t>
      </w:r>
      <w:r w:rsidR="002F0D22">
        <w:rPr>
          <w:rFonts w:eastAsia="Times New Roman" w:cs="Times New Roman"/>
        </w:rPr>
        <w:t xml:space="preserve"> Jews according to the standard of Torah.</w:t>
      </w:r>
      <w:r w:rsidR="002F0D22">
        <w:rPr>
          <w:rStyle w:val="FootnoteReference"/>
          <w:rFonts w:eastAsia="Times New Roman" w:cs="Times New Roman"/>
        </w:rPr>
        <w:footnoteReference w:id="13"/>
      </w:r>
      <w:r w:rsidR="002F0D22">
        <w:rPr>
          <w:rFonts w:eastAsia="Times New Roman" w:cs="Times New Roman"/>
        </w:rPr>
        <w:t xml:space="preserve">      </w:t>
      </w:r>
      <w:r w:rsidR="001F0304">
        <w:rPr>
          <w:rFonts w:eastAsia="Times New Roman" w:cs="Times New Roman"/>
        </w:rPr>
        <w:t xml:space="preserve"> </w:t>
      </w:r>
    </w:p>
    <w:p w14:paraId="3464B4D0" w14:textId="2CB9D73D" w:rsidR="009C04B4" w:rsidRDefault="00DE3773" w:rsidP="00954503">
      <w:pPr>
        <w:ind w:firstLine="720"/>
        <w:rPr>
          <w:rFonts w:eastAsia="Times New Roman" w:cs="Times New Roman"/>
        </w:rPr>
      </w:pPr>
      <w:r>
        <w:rPr>
          <w:rFonts w:eastAsia="Times New Roman" w:cs="Times New Roman"/>
        </w:rPr>
        <w:t xml:space="preserve">The </w:t>
      </w:r>
      <w:proofErr w:type="spellStart"/>
      <w:r>
        <w:rPr>
          <w:rFonts w:eastAsia="Times New Roman" w:cs="Times New Roman"/>
        </w:rPr>
        <w:t>Quranic</w:t>
      </w:r>
      <w:proofErr w:type="spellEnd"/>
      <w:r>
        <w:rPr>
          <w:rFonts w:eastAsia="Times New Roman" w:cs="Times New Roman"/>
        </w:rPr>
        <w:t xml:space="preserve"> affirmation of Judaism and Christianity </w:t>
      </w:r>
      <w:r w:rsidR="003959CE">
        <w:rPr>
          <w:rFonts w:eastAsia="Times New Roman" w:cs="Times New Roman"/>
        </w:rPr>
        <w:t>generated fascinating interactions between the Abrahamic religions, especially during the medieval period.</w:t>
      </w:r>
      <w:r>
        <w:rPr>
          <w:rFonts w:eastAsia="Times New Roman" w:cs="Times New Roman"/>
        </w:rPr>
        <w:t xml:space="preserve">  The </w:t>
      </w:r>
      <w:r w:rsidR="00AC53A4">
        <w:rPr>
          <w:rFonts w:eastAsia="Times New Roman" w:cs="Times New Roman"/>
        </w:rPr>
        <w:t>early</w:t>
      </w:r>
      <w:r>
        <w:rPr>
          <w:rFonts w:eastAsia="Times New Roman" w:cs="Times New Roman"/>
        </w:rPr>
        <w:t xml:space="preserve"> centuries </w:t>
      </w:r>
      <w:r w:rsidR="00AC53A4">
        <w:rPr>
          <w:rFonts w:eastAsia="Times New Roman" w:cs="Times New Roman"/>
        </w:rPr>
        <w:t xml:space="preserve">of Islam </w:t>
      </w:r>
      <w:r>
        <w:rPr>
          <w:rFonts w:eastAsia="Times New Roman" w:cs="Times New Roman"/>
        </w:rPr>
        <w:t xml:space="preserve">saw extended </w:t>
      </w:r>
      <w:r w:rsidR="002E07CB">
        <w:rPr>
          <w:rFonts w:eastAsia="Times New Roman" w:cs="Times New Roman"/>
        </w:rPr>
        <w:t>polemical</w:t>
      </w:r>
      <w:r>
        <w:rPr>
          <w:rFonts w:eastAsia="Times New Roman" w:cs="Times New Roman"/>
        </w:rPr>
        <w:t xml:space="preserve"> engagements between </w:t>
      </w:r>
      <w:r w:rsidR="00AC53A4">
        <w:rPr>
          <w:rFonts w:eastAsia="Times New Roman" w:cs="Times New Roman"/>
        </w:rPr>
        <w:t xml:space="preserve">Muslim thinkers and Christian theologians in the East—e.g., </w:t>
      </w:r>
      <w:r>
        <w:rPr>
          <w:rFonts w:eastAsia="Times New Roman" w:cs="Times New Roman"/>
        </w:rPr>
        <w:t>John of Damascus,</w:t>
      </w:r>
      <w:r w:rsidR="001D3772">
        <w:rPr>
          <w:rFonts w:eastAsia="Times New Roman" w:cs="Times New Roman"/>
        </w:rPr>
        <w:t xml:space="preserve"> Theodore Abu </w:t>
      </w:r>
      <w:proofErr w:type="spellStart"/>
      <w:r w:rsidR="001D3772">
        <w:rPr>
          <w:rFonts w:eastAsia="Times New Roman" w:cs="Times New Roman"/>
        </w:rPr>
        <w:t>Qurrah</w:t>
      </w:r>
      <w:proofErr w:type="spellEnd"/>
      <w:r w:rsidR="001D3772">
        <w:rPr>
          <w:rFonts w:eastAsia="Times New Roman" w:cs="Times New Roman"/>
        </w:rPr>
        <w:t xml:space="preserve">, Abu </w:t>
      </w:r>
      <w:proofErr w:type="spellStart"/>
      <w:r w:rsidR="001D3772">
        <w:rPr>
          <w:rFonts w:eastAsia="Times New Roman" w:cs="Times New Roman"/>
        </w:rPr>
        <w:t>Ra‘itah</w:t>
      </w:r>
      <w:proofErr w:type="spellEnd"/>
      <w:r w:rsidR="001D3772">
        <w:rPr>
          <w:rFonts w:eastAsia="Times New Roman" w:cs="Times New Roman"/>
        </w:rPr>
        <w:t xml:space="preserve">, </w:t>
      </w:r>
      <w:r w:rsidR="009C769F">
        <w:rPr>
          <w:rFonts w:eastAsia="Times New Roman" w:cs="Times New Roman"/>
        </w:rPr>
        <w:t>Abu ‘Isa al-</w:t>
      </w:r>
      <w:proofErr w:type="spellStart"/>
      <w:r w:rsidR="009C769F">
        <w:rPr>
          <w:rFonts w:eastAsia="Times New Roman" w:cs="Times New Roman"/>
        </w:rPr>
        <w:t>Waraq</w:t>
      </w:r>
      <w:proofErr w:type="spellEnd"/>
      <w:r w:rsidR="009C769F">
        <w:rPr>
          <w:rFonts w:eastAsia="Times New Roman" w:cs="Times New Roman"/>
        </w:rPr>
        <w:t xml:space="preserve">, </w:t>
      </w:r>
      <w:proofErr w:type="spellStart"/>
      <w:r w:rsidR="002F0D22">
        <w:rPr>
          <w:rFonts w:eastAsia="Times New Roman" w:cs="Times New Roman"/>
        </w:rPr>
        <w:t>Ibn</w:t>
      </w:r>
      <w:proofErr w:type="spellEnd"/>
      <w:r w:rsidR="002F0D22">
        <w:rPr>
          <w:rFonts w:eastAsia="Times New Roman" w:cs="Times New Roman"/>
        </w:rPr>
        <w:t xml:space="preserve"> </w:t>
      </w:r>
      <w:proofErr w:type="spellStart"/>
      <w:r w:rsidR="002F0D22">
        <w:rPr>
          <w:rFonts w:eastAsia="Times New Roman" w:cs="Times New Roman"/>
        </w:rPr>
        <w:t>Hazm</w:t>
      </w:r>
      <w:proofErr w:type="spellEnd"/>
      <w:r w:rsidR="002F0D22">
        <w:rPr>
          <w:rFonts w:eastAsia="Times New Roman" w:cs="Times New Roman"/>
        </w:rPr>
        <w:t xml:space="preserve">, </w:t>
      </w:r>
      <w:r w:rsidR="009C769F">
        <w:rPr>
          <w:rFonts w:eastAsia="Times New Roman" w:cs="Times New Roman"/>
        </w:rPr>
        <w:t>and many others</w:t>
      </w:r>
      <w:r w:rsidR="002E07CB">
        <w:rPr>
          <w:rFonts w:eastAsia="Times New Roman" w:cs="Times New Roman"/>
        </w:rPr>
        <w:t>.</w:t>
      </w:r>
      <w:r w:rsidR="002E07CB">
        <w:rPr>
          <w:rStyle w:val="FootnoteReference"/>
          <w:rFonts w:eastAsia="Times New Roman" w:cs="Times New Roman"/>
        </w:rPr>
        <w:footnoteReference w:id="14"/>
      </w:r>
      <w:r w:rsidR="00AC53A4">
        <w:rPr>
          <w:rFonts w:eastAsia="Times New Roman" w:cs="Times New Roman"/>
        </w:rPr>
        <w:t xml:space="preserve">  While we might expect polemical interaction to cause disengagement, the opposite was true.</w:t>
      </w:r>
      <w:r w:rsidR="009C04B4">
        <w:rPr>
          <w:rFonts w:eastAsia="Times New Roman" w:cs="Times New Roman"/>
        </w:rPr>
        <w:t xml:space="preserve">  Jewish, Christian, and Muslim </w:t>
      </w:r>
      <w:r w:rsidR="004B6109">
        <w:rPr>
          <w:rFonts w:eastAsia="Times New Roman" w:cs="Times New Roman"/>
        </w:rPr>
        <w:t>philosophy and theology</w:t>
      </w:r>
      <w:r w:rsidR="009C04B4">
        <w:rPr>
          <w:rFonts w:eastAsia="Times New Roman" w:cs="Times New Roman"/>
        </w:rPr>
        <w:t xml:space="preserve"> developed in close proximity during the medieval period.</w:t>
      </w:r>
      <w:r w:rsidR="00AC53A4">
        <w:rPr>
          <w:rFonts w:eastAsia="Times New Roman" w:cs="Times New Roman"/>
        </w:rPr>
        <w:t xml:space="preserve"> </w:t>
      </w:r>
      <w:r w:rsidR="009C04B4">
        <w:rPr>
          <w:rFonts w:eastAsia="Times New Roman" w:cs="Times New Roman"/>
        </w:rPr>
        <w:t xml:space="preserve"> </w:t>
      </w:r>
      <w:r w:rsidR="00000161">
        <w:rPr>
          <w:rFonts w:eastAsia="Times New Roman" w:cs="Times New Roman"/>
        </w:rPr>
        <w:t xml:space="preserve">Muslim thinkers were especially creative in navigating the Quran’s affirmations of Christianity and Judaism </w:t>
      </w:r>
      <w:r w:rsidR="00A96E92">
        <w:rPr>
          <w:rFonts w:eastAsia="Times New Roman" w:cs="Times New Roman"/>
        </w:rPr>
        <w:t>alongside</w:t>
      </w:r>
      <w:r w:rsidR="00000161">
        <w:rPr>
          <w:rFonts w:eastAsia="Times New Roman" w:cs="Times New Roman"/>
        </w:rPr>
        <w:t xml:space="preserve"> </w:t>
      </w:r>
      <w:r w:rsidR="00D97E4A">
        <w:rPr>
          <w:rFonts w:eastAsia="Times New Roman" w:cs="Times New Roman"/>
        </w:rPr>
        <w:t xml:space="preserve">its </w:t>
      </w:r>
      <w:r w:rsidR="00000161">
        <w:rPr>
          <w:rFonts w:eastAsia="Times New Roman" w:cs="Times New Roman"/>
        </w:rPr>
        <w:t xml:space="preserve">rejection of particular </w:t>
      </w:r>
      <w:r w:rsidR="002F0D22">
        <w:rPr>
          <w:rFonts w:eastAsia="Times New Roman" w:cs="Times New Roman"/>
        </w:rPr>
        <w:t>Jewish</w:t>
      </w:r>
      <w:r w:rsidR="00000161">
        <w:rPr>
          <w:rFonts w:eastAsia="Times New Roman" w:cs="Times New Roman"/>
        </w:rPr>
        <w:t xml:space="preserve"> and </w:t>
      </w:r>
      <w:r w:rsidR="002F0D22">
        <w:rPr>
          <w:rFonts w:eastAsia="Times New Roman" w:cs="Times New Roman"/>
        </w:rPr>
        <w:t>Christian</w:t>
      </w:r>
      <w:r w:rsidR="00000161">
        <w:rPr>
          <w:rFonts w:eastAsia="Times New Roman" w:cs="Times New Roman"/>
        </w:rPr>
        <w:t xml:space="preserve"> doctrines</w:t>
      </w:r>
      <w:r w:rsidR="00370B32">
        <w:rPr>
          <w:rFonts w:eastAsia="Times New Roman" w:cs="Times New Roman"/>
        </w:rPr>
        <w:t>,</w:t>
      </w:r>
      <w:r w:rsidR="002F0D22">
        <w:rPr>
          <w:rFonts w:eastAsia="Times New Roman" w:cs="Times New Roman"/>
        </w:rPr>
        <w:t xml:space="preserve"> such as the Trinity </w:t>
      </w:r>
      <w:r w:rsidR="00532DCB">
        <w:rPr>
          <w:rFonts w:eastAsia="Times New Roman" w:cs="Times New Roman"/>
        </w:rPr>
        <w:t xml:space="preserve">(See </w:t>
      </w:r>
      <w:r w:rsidR="009C04B4">
        <w:rPr>
          <w:rFonts w:eastAsia="Times New Roman" w:cs="Times New Roman"/>
        </w:rPr>
        <w:t>4:171)</w:t>
      </w:r>
      <w:r w:rsidR="0050307A">
        <w:rPr>
          <w:rFonts w:eastAsia="Times New Roman" w:cs="Times New Roman"/>
        </w:rPr>
        <w:t>.</w:t>
      </w:r>
      <w:r w:rsidR="00000161">
        <w:rPr>
          <w:rFonts w:eastAsia="Times New Roman" w:cs="Times New Roman"/>
        </w:rPr>
        <w:t xml:space="preserve">  </w:t>
      </w:r>
      <w:r w:rsidR="00684A04">
        <w:rPr>
          <w:rFonts w:eastAsia="Times New Roman" w:cs="Times New Roman"/>
        </w:rPr>
        <w:t>Consequently</w:t>
      </w:r>
      <w:r w:rsidR="009C04B4">
        <w:rPr>
          <w:rFonts w:eastAsia="Times New Roman" w:cs="Times New Roman"/>
        </w:rPr>
        <w:t>, medieval Muslim theology contains rich resources for thinking about religious difference.</w:t>
      </w:r>
    </w:p>
    <w:p w14:paraId="1DB08282" w14:textId="2E2662E4" w:rsidR="009C04B4" w:rsidRDefault="009C04B4" w:rsidP="00954503">
      <w:pPr>
        <w:ind w:firstLine="720"/>
        <w:rPr>
          <w:rFonts w:eastAsia="Times New Roman" w:cs="Times New Roman"/>
        </w:rPr>
      </w:pPr>
      <w:r>
        <w:rPr>
          <w:rFonts w:eastAsia="Times New Roman" w:cs="Times New Roman"/>
        </w:rPr>
        <w:t>I want to focus o</w:t>
      </w:r>
      <w:r w:rsidR="008C3552">
        <w:rPr>
          <w:rFonts w:eastAsia="Times New Roman" w:cs="Times New Roman"/>
        </w:rPr>
        <w:t xml:space="preserve">n one thinker: </w:t>
      </w:r>
      <w:proofErr w:type="spellStart"/>
      <w:r w:rsidR="00C11B26">
        <w:rPr>
          <w:rFonts w:eastAsia="Times New Roman" w:cs="Times New Roman"/>
        </w:rPr>
        <w:t>Muhyi</w:t>
      </w:r>
      <w:proofErr w:type="spellEnd"/>
      <w:r w:rsidR="00C11B26">
        <w:rPr>
          <w:rFonts w:eastAsia="Times New Roman" w:cs="Times New Roman"/>
        </w:rPr>
        <w:t xml:space="preserve"> al-Din </w:t>
      </w:r>
      <w:proofErr w:type="spellStart"/>
      <w:r w:rsidR="008C3552">
        <w:rPr>
          <w:rFonts w:eastAsia="Times New Roman" w:cs="Times New Roman"/>
        </w:rPr>
        <w:t>Ibn</w:t>
      </w:r>
      <w:proofErr w:type="spellEnd"/>
      <w:r w:rsidR="008C3552">
        <w:rPr>
          <w:rFonts w:eastAsia="Times New Roman" w:cs="Times New Roman"/>
        </w:rPr>
        <w:t xml:space="preserve"> al-‘</w:t>
      </w:r>
      <w:proofErr w:type="spellStart"/>
      <w:r w:rsidR="008C3552">
        <w:rPr>
          <w:rFonts w:eastAsia="Times New Roman" w:cs="Times New Roman"/>
        </w:rPr>
        <w:t>Arabi</w:t>
      </w:r>
      <w:proofErr w:type="spellEnd"/>
      <w:r w:rsidR="008C3552">
        <w:rPr>
          <w:rFonts w:eastAsia="Times New Roman" w:cs="Times New Roman"/>
        </w:rPr>
        <w:t xml:space="preserve"> (1165-1240), whose influence on Islam and Sufism in particular has been enormous, and whose work on religious imagination will be helpful in expanding the </w:t>
      </w:r>
      <w:proofErr w:type="spellStart"/>
      <w:r w:rsidR="008C3552">
        <w:rPr>
          <w:rFonts w:eastAsia="Times New Roman" w:cs="Times New Roman"/>
        </w:rPr>
        <w:t>Johannine</w:t>
      </w:r>
      <w:proofErr w:type="spellEnd"/>
      <w:r w:rsidR="008C3552">
        <w:rPr>
          <w:rFonts w:eastAsia="Times New Roman" w:cs="Times New Roman"/>
        </w:rPr>
        <w:t xml:space="preserve"> hermeneutic of encounter.</w:t>
      </w:r>
      <w:r w:rsidR="00D52239">
        <w:rPr>
          <w:rStyle w:val="FootnoteReference"/>
          <w:rFonts w:eastAsia="Times New Roman" w:cs="Times New Roman"/>
        </w:rPr>
        <w:footnoteReference w:id="15"/>
      </w:r>
      <w:r w:rsidR="001B573E">
        <w:rPr>
          <w:rFonts w:eastAsia="Times New Roman" w:cs="Times New Roman"/>
        </w:rPr>
        <w:t xml:space="preserve">  </w:t>
      </w:r>
      <w:proofErr w:type="spellStart"/>
      <w:r w:rsidR="001B573E">
        <w:rPr>
          <w:rFonts w:eastAsia="Times New Roman" w:cs="Times New Roman"/>
        </w:rPr>
        <w:t>Ibn</w:t>
      </w:r>
      <w:proofErr w:type="spellEnd"/>
      <w:r w:rsidR="001B573E">
        <w:rPr>
          <w:rFonts w:eastAsia="Times New Roman" w:cs="Times New Roman"/>
        </w:rPr>
        <w:t xml:space="preserve"> al-‘</w:t>
      </w:r>
      <w:proofErr w:type="spellStart"/>
      <w:r w:rsidR="001B573E">
        <w:rPr>
          <w:rFonts w:eastAsia="Times New Roman" w:cs="Times New Roman"/>
        </w:rPr>
        <w:t>Arabi</w:t>
      </w:r>
      <w:proofErr w:type="spellEnd"/>
      <w:r w:rsidR="001B573E">
        <w:rPr>
          <w:rFonts w:eastAsia="Times New Roman" w:cs="Times New Roman"/>
        </w:rPr>
        <w:t xml:space="preserve"> </w:t>
      </w:r>
      <w:r w:rsidR="00D4661C">
        <w:rPr>
          <w:rFonts w:eastAsia="Times New Roman" w:cs="Times New Roman"/>
        </w:rPr>
        <w:t>argues that God can take many forms, depending on the ex</w:t>
      </w:r>
      <w:r w:rsidR="002338EB">
        <w:rPr>
          <w:rFonts w:eastAsia="Times New Roman" w:cs="Times New Roman"/>
        </w:rPr>
        <w:t>pectations and capacities of the one</w:t>
      </w:r>
      <w:r w:rsidR="00D4661C">
        <w:rPr>
          <w:rFonts w:eastAsia="Times New Roman" w:cs="Times New Roman"/>
        </w:rPr>
        <w:t xml:space="preserve"> perceiving God: </w:t>
      </w:r>
      <w:r w:rsidR="002338EB">
        <w:rPr>
          <w:rFonts w:eastAsia="Times New Roman" w:cs="Times New Roman"/>
        </w:rPr>
        <w:t>“</w:t>
      </w:r>
      <w:r w:rsidR="00522EF3">
        <w:rPr>
          <w:rFonts w:eastAsia="Times New Roman" w:cs="Times New Roman"/>
        </w:rPr>
        <w:t xml:space="preserve">The Self-discloser [i.e., God], in respect of what He is in Himself, is One in Entity, while the self-disclosures—I mean their forms—are diverse in accordance with the diversity of the preparedness of the loci of self-disclosure.  The property </w:t>
      </w:r>
      <w:r w:rsidR="006B54F7">
        <w:rPr>
          <w:rFonts w:eastAsia="Times New Roman" w:cs="Times New Roman"/>
        </w:rPr>
        <w:t>of the divine gifts is the same</w:t>
      </w:r>
      <w:r w:rsidR="00522EF3">
        <w:rPr>
          <w:rFonts w:eastAsia="Times New Roman" w:cs="Times New Roman"/>
        </w:rPr>
        <w:t>”</w:t>
      </w:r>
      <w:r w:rsidR="006B54F7">
        <w:rPr>
          <w:rFonts w:eastAsia="Times New Roman" w:cs="Times New Roman"/>
        </w:rPr>
        <w:t xml:space="preserve"> (</w:t>
      </w:r>
      <w:proofErr w:type="spellStart"/>
      <w:r w:rsidR="006B54F7">
        <w:rPr>
          <w:rFonts w:eastAsia="Times New Roman" w:cs="Times New Roman"/>
        </w:rPr>
        <w:t>Chittick</w:t>
      </w:r>
      <w:proofErr w:type="spellEnd"/>
      <w:r w:rsidR="006B54F7">
        <w:rPr>
          <w:rFonts w:eastAsia="Times New Roman" w:cs="Times New Roman"/>
        </w:rPr>
        <w:t xml:space="preserve"> 1989: 92).</w:t>
      </w:r>
      <w:r w:rsidR="00CF5477">
        <w:rPr>
          <w:rFonts w:eastAsia="Times New Roman" w:cs="Times New Roman"/>
        </w:rPr>
        <w:t xml:space="preserve"> </w:t>
      </w:r>
      <w:r w:rsidR="006B54F7">
        <w:rPr>
          <w:rFonts w:eastAsia="Times New Roman" w:cs="Times New Roman"/>
        </w:rPr>
        <w:t xml:space="preserve"> </w:t>
      </w:r>
      <w:r w:rsidR="00904DF7">
        <w:rPr>
          <w:rFonts w:eastAsia="Times New Roman" w:cs="Times New Roman"/>
        </w:rPr>
        <w:t xml:space="preserve">God gives </w:t>
      </w:r>
      <w:proofErr w:type="spellStart"/>
      <w:r w:rsidR="00904DF7">
        <w:rPr>
          <w:rFonts w:eastAsia="Times New Roman" w:cs="Times New Roman"/>
        </w:rPr>
        <w:t>godself</w:t>
      </w:r>
      <w:proofErr w:type="spellEnd"/>
      <w:r w:rsidR="00904DF7">
        <w:rPr>
          <w:rFonts w:eastAsia="Times New Roman" w:cs="Times New Roman"/>
        </w:rPr>
        <w:t xml:space="preserve"> to be known according to t</w:t>
      </w:r>
      <w:r w:rsidR="00CF5477">
        <w:rPr>
          <w:rFonts w:eastAsia="Times New Roman" w:cs="Times New Roman"/>
        </w:rPr>
        <w:t xml:space="preserve">he “preparedness” of the </w:t>
      </w:r>
      <w:r w:rsidR="00904DF7">
        <w:rPr>
          <w:rFonts w:eastAsia="Times New Roman" w:cs="Times New Roman"/>
        </w:rPr>
        <w:t>knower.  This “preparedness” or receptivity originates not in the rational faculty</w:t>
      </w:r>
      <w:r w:rsidR="00CF5477">
        <w:rPr>
          <w:rFonts w:eastAsia="Times New Roman" w:cs="Times New Roman"/>
        </w:rPr>
        <w:t>,</w:t>
      </w:r>
      <w:r w:rsidR="00904DF7">
        <w:rPr>
          <w:rFonts w:eastAsia="Times New Roman" w:cs="Times New Roman"/>
        </w:rPr>
        <w:t xml:space="preserve"> but in the imagination.</w:t>
      </w:r>
    </w:p>
    <w:p w14:paraId="2B1DAAC3" w14:textId="6E941B7E" w:rsidR="002822CA" w:rsidRDefault="00434086" w:rsidP="00954503">
      <w:pPr>
        <w:ind w:firstLine="720"/>
        <w:rPr>
          <w:rFonts w:eastAsia="Times New Roman" w:cs="Times New Roman"/>
        </w:rPr>
      </w:pPr>
      <w:r>
        <w:rPr>
          <w:rFonts w:eastAsia="Times New Roman" w:cs="Times New Roman"/>
        </w:rPr>
        <w:t xml:space="preserve">For </w:t>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w:t>
      </w:r>
      <w:proofErr w:type="spellEnd"/>
      <w:r>
        <w:rPr>
          <w:rFonts w:eastAsia="Times New Roman" w:cs="Times New Roman"/>
        </w:rPr>
        <w:t xml:space="preserve">, the </w:t>
      </w:r>
      <w:r w:rsidR="00A96E92">
        <w:rPr>
          <w:rFonts w:eastAsia="Times New Roman" w:cs="Times New Roman"/>
        </w:rPr>
        <w:t>role</w:t>
      </w:r>
      <w:r>
        <w:rPr>
          <w:rFonts w:eastAsia="Times New Roman" w:cs="Times New Roman"/>
        </w:rPr>
        <w:t xml:space="preserve"> of the imagination derives from the nature of existence itself.  </w:t>
      </w:r>
      <w:r w:rsidR="00904DF7">
        <w:rPr>
          <w:rFonts w:eastAsia="Times New Roman" w:cs="Times New Roman"/>
        </w:rPr>
        <w:t>On the one hand, there is God, whose exis</w:t>
      </w:r>
      <w:r>
        <w:rPr>
          <w:rFonts w:eastAsia="Times New Roman" w:cs="Times New Roman"/>
        </w:rPr>
        <w:t>tence is necessary (God=Being</w:t>
      </w:r>
      <w:r w:rsidR="00BB49B9">
        <w:rPr>
          <w:rFonts w:eastAsia="Times New Roman" w:cs="Times New Roman"/>
        </w:rPr>
        <w:t xml:space="preserve"> or </w:t>
      </w:r>
      <w:r w:rsidR="004555F8">
        <w:rPr>
          <w:rFonts w:eastAsia="Times New Roman" w:cs="Times New Roman"/>
        </w:rPr>
        <w:t>“</w:t>
      </w:r>
      <w:r w:rsidR="00BB49B9">
        <w:rPr>
          <w:rFonts w:eastAsia="Times New Roman" w:cs="Times New Roman"/>
        </w:rPr>
        <w:t>the Real</w:t>
      </w:r>
      <w:r w:rsidR="004555F8">
        <w:rPr>
          <w:rFonts w:eastAsia="Times New Roman" w:cs="Times New Roman"/>
        </w:rPr>
        <w:t>”</w:t>
      </w:r>
      <w:r>
        <w:rPr>
          <w:rFonts w:eastAsia="Times New Roman" w:cs="Times New Roman"/>
        </w:rPr>
        <w:t>).</w:t>
      </w:r>
      <w:r w:rsidR="00904DF7">
        <w:rPr>
          <w:rFonts w:eastAsia="Times New Roman" w:cs="Times New Roman"/>
        </w:rPr>
        <w:t xml:space="preserve">  On the other hand, there i</w:t>
      </w:r>
      <w:r>
        <w:rPr>
          <w:rFonts w:eastAsia="Times New Roman" w:cs="Times New Roman"/>
        </w:rPr>
        <w:t>s non-existence.  Everything in-</w:t>
      </w:r>
      <w:r w:rsidR="00904DF7">
        <w:rPr>
          <w:rFonts w:eastAsia="Times New Roman" w:cs="Times New Roman"/>
        </w:rPr>
        <w:t>between</w:t>
      </w:r>
      <w:r w:rsidR="00C11B26">
        <w:rPr>
          <w:rFonts w:eastAsia="Times New Roman" w:cs="Times New Roman"/>
        </w:rPr>
        <w:t>—</w:t>
      </w:r>
      <w:r>
        <w:rPr>
          <w:rFonts w:eastAsia="Times New Roman" w:cs="Times New Roman"/>
        </w:rPr>
        <w:t>the existence of the entire cosmos and all knowledge deriv</w:t>
      </w:r>
      <w:r w:rsidR="003D11F4">
        <w:rPr>
          <w:rFonts w:eastAsia="Times New Roman" w:cs="Times New Roman"/>
        </w:rPr>
        <w:t>ed</w:t>
      </w:r>
      <w:r w:rsidR="00C11B26">
        <w:rPr>
          <w:rFonts w:eastAsia="Times New Roman" w:cs="Times New Roman"/>
        </w:rPr>
        <w:t xml:space="preserve"> from it—</w:t>
      </w:r>
      <w:r>
        <w:rPr>
          <w:rFonts w:eastAsia="Times New Roman" w:cs="Times New Roman"/>
        </w:rPr>
        <w:t xml:space="preserve">exists in a mediated state.  </w:t>
      </w:r>
      <w:r w:rsidR="00C11B26">
        <w:rPr>
          <w:rFonts w:eastAsia="Times New Roman" w:cs="Times New Roman"/>
        </w:rPr>
        <w:t xml:space="preserve">Accordingly, </w:t>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w:t>
      </w:r>
      <w:proofErr w:type="spellEnd"/>
      <w:r>
        <w:rPr>
          <w:rFonts w:eastAsia="Times New Roman" w:cs="Times New Roman"/>
        </w:rPr>
        <w:t xml:space="preserve"> refers to the</w:t>
      </w:r>
      <w:r w:rsidR="00C11B26">
        <w:rPr>
          <w:rFonts w:eastAsia="Times New Roman" w:cs="Times New Roman"/>
        </w:rPr>
        <w:t xml:space="preserve"> cosmos</w:t>
      </w:r>
      <w:r>
        <w:rPr>
          <w:rFonts w:eastAsia="Times New Roman" w:cs="Times New Roman"/>
        </w:rPr>
        <w:t xml:space="preserve"> as an isthmus (</w:t>
      </w:r>
      <w:proofErr w:type="spellStart"/>
      <w:r>
        <w:rPr>
          <w:rFonts w:eastAsia="Times New Roman" w:cs="Times New Roman"/>
          <w:i/>
        </w:rPr>
        <w:t>barzakh</w:t>
      </w:r>
      <w:proofErr w:type="spellEnd"/>
      <w:r>
        <w:rPr>
          <w:rFonts w:eastAsia="Times New Roman" w:cs="Times New Roman"/>
        </w:rPr>
        <w:t xml:space="preserve">) connecting God and nothingness.  </w:t>
      </w:r>
      <w:r w:rsidR="003D11F4">
        <w:rPr>
          <w:rFonts w:eastAsia="Times New Roman" w:cs="Times New Roman"/>
        </w:rPr>
        <w:t xml:space="preserve">This ultimately means that everything exists in a paradoxical relationship to God: </w:t>
      </w:r>
      <w:r>
        <w:rPr>
          <w:rFonts w:eastAsia="Times New Roman" w:cs="Times New Roman"/>
        </w:rPr>
        <w:t xml:space="preserve">The cosmos </w:t>
      </w:r>
      <w:r>
        <w:rPr>
          <w:rFonts w:eastAsia="Times New Roman" w:cs="Times New Roman"/>
          <w:i/>
        </w:rPr>
        <w:t xml:space="preserve">is </w:t>
      </w:r>
      <w:r w:rsidR="003D11F4">
        <w:rPr>
          <w:rFonts w:eastAsia="Times New Roman" w:cs="Times New Roman"/>
        </w:rPr>
        <w:t>God (</w:t>
      </w:r>
      <w:r>
        <w:rPr>
          <w:rFonts w:eastAsia="Times New Roman" w:cs="Times New Roman"/>
        </w:rPr>
        <w:t xml:space="preserve">inasmuch </w:t>
      </w:r>
      <w:r>
        <w:rPr>
          <w:rFonts w:eastAsia="Times New Roman" w:cs="Times New Roman"/>
        </w:rPr>
        <w:lastRenderedPageBreak/>
        <w:t>as</w:t>
      </w:r>
      <w:r w:rsidR="003D11F4">
        <w:rPr>
          <w:rFonts w:eastAsia="Times New Roman" w:cs="Times New Roman"/>
        </w:rPr>
        <w:t xml:space="preserve"> creation reflects the creator) </w:t>
      </w:r>
      <w:r>
        <w:rPr>
          <w:rFonts w:eastAsia="Times New Roman" w:cs="Times New Roman"/>
        </w:rPr>
        <w:t xml:space="preserve">and </w:t>
      </w:r>
      <w:r>
        <w:rPr>
          <w:rFonts w:eastAsia="Times New Roman" w:cs="Times New Roman"/>
          <w:i/>
        </w:rPr>
        <w:t>is not</w:t>
      </w:r>
      <w:r w:rsidR="003D11F4">
        <w:rPr>
          <w:rFonts w:eastAsia="Times New Roman" w:cs="Times New Roman"/>
        </w:rPr>
        <w:t xml:space="preserve"> God (</w:t>
      </w:r>
      <w:r>
        <w:rPr>
          <w:rFonts w:eastAsia="Times New Roman" w:cs="Times New Roman"/>
        </w:rPr>
        <w:t>inasmuch</w:t>
      </w:r>
      <w:r w:rsidR="003D11F4">
        <w:rPr>
          <w:rFonts w:eastAsia="Times New Roman" w:cs="Times New Roman"/>
        </w:rPr>
        <w:t xml:space="preserve"> </w:t>
      </w:r>
      <w:r w:rsidR="00532DCB">
        <w:rPr>
          <w:rFonts w:eastAsia="Times New Roman" w:cs="Times New Roman"/>
        </w:rPr>
        <w:t xml:space="preserve">as God transcends the world)—existence is “He/not-He.”  </w:t>
      </w:r>
    </w:p>
    <w:p w14:paraId="31B9E501" w14:textId="3B50D249" w:rsidR="002822CA" w:rsidRDefault="00684A04" w:rsidP="00954503">
      <w:pPr>
        <w:ind w:firstLine="720"/>
        <w:rPr>
          <w:rFonts w:eastAsia="Times New Roman" w:cs="Times New Roman"/>
        </w:rPr>
      </w:pPr>
      <w:r>
        <w:rPr>
          <w:rFonts w:eastAsia="Times New Roman" w:cs="Times New Roman"/>
        </w:rPr>
        <w:t>To</w:t>
      </w:r>
      <w:r w:rsidR="002822CA">
        <w:rPr>
          <w:rFonts w:eastAsia="Times New Roman" w:cs="Times New Roman"/>
        </w:rPr>
        <w:t xml:space="preserve"> explain the concept of “He/not-He,” </w:t>
      </w:r>
      <w:proofErr w:type="spellStart"/>
      <w:r w:rsidR="002822CA">
        <w:rPr>
          <w:rFonts w:eastAsia="Times New Roman" w:cs="Times New Roman"/>
        </w:rPr>
        <w:t>Ibn</w:t>
      </w:r>
      <w:proofErr w:type="spellEnd"/>
      <w:r w:rsidR="002822CA">
        <w:rPr>
          <w:rFonts w:eastAsia="Times New Roman" w:cs="Times New Roman"/>
        </w:rPr>
        <w:t xml:space="preserve"> al-‘</w:t>
      </w:r>
      <w:proofErr w:type="spellStart"/>
      <w:r w:rsidR="002822CA">
        <w:rPr>
          <w:rFonts w:eastAsia="Times New Roman" w:cs="Times New Roman"/>
        </w:rPr>
        <w:t>Arabi</w:t>
      </w:r>
      <w:proofErr w:type="spellEnd"/>
      <w:r w:rsidR="002822CA">
        <w:rPr>
          <w:rFonts w:eastAsia="Times New Roman" w:cs="Times New Roman"/>
        </w:rPr>
        <w:t xml:space="preserve"> often </w:t>
      </w:r>
      <w:r w:rsidR="0033441F">
        <w:rPr>
          <w:rFonts w:eastAsia="Times New Roman" w:cs="Times New Roman"/>
        </w:rPr>
        <w:t>refers to</w:t>
      </w:r>
      <w:r w:rsidR="002822CA">
        <w:rPr>
          <w:rFonts w:eastAsia="Times New Roman" w:cs="Times New Roman"/>
        </w:rPr>
        <w:t xml:space="preserve"> two sources.  First, the Quran’s account of God’s action in Muhammad’s victory at the Battle of </w:t>
      </w:r>
      <w:proofErr w:type="spellStart"/>
      <w:r w:rsidR="002822CA">
        <w:rPr>
          <w:rFonts w:eastAsia="Times New Roman" w:cs="Times New Roman"/>
        </w:rPr>
        <w:t>Badr</w:t>
      </w:r>
      <w:proofErr w:type="spellEnd"/>
      <w:r w:rsidR="002822CA">
        <w:rPr>
          <w:rFonts w:eastAsia="Times New Roman" w:cs="Times New Roman"/>
        </w:rPr>
        <w:t xml:space="preserve">: “You did not slay them, but God slew them, and thou </w:t>
      </w:r>
      <w:proofErr w:type="spellStart"/>
      <w:r w:rsidR="002822CA">
        <w:rPr>
          <w:rFonts w:eastAsia="Times New Roman" w:cs="Times New Roman"/>
        </w:rPr>
        <w:t>threwest</w:t>
      </w:r>
      <w:proofErr w:type="spellEnd"/>
      <w:r w:rsidR="002822CA">
        <w:rPr>
          <w:rFonts w:eastAsia="Times New Roman" w:cs="Times New Roman"/>
        </w:rPr>
        <w:t xml:space="preserve"> not when thou </w:t>
      </w:r>
      <w:proofErr w:type="spellStart"/>
      <w:r w:rsidR="002822CA">
        <w:rPr>
          <w:rFonts w:eastAsia="Times New Roman" w:cs="Times New Roman"/>
        </w:rPr>
        <w:t>threwest</w:t>
      </w:r>
      <w:proofErr w:type="spellEnd"/>
      <w:r w:rsidR="002822CA">
        <w:rPr>
          <w:rFonts w:eastAsia="Times New Roman" w:cs="Times New Roman"/>
        </w:rPr>
        <w:t xml:space="preserve">, but God threw” (8:17). </w:t>
      </w:r>
      <w:r>
        <w:rPr>
          <w:rFonts w:eastAsia="Times New Roman" w:cs="Times New Roman"/>
        </w:rPr>
        <w:t xml:space="preserve"> </w:t>
      </w:r>
      <w:r w:rsidR="002822CA">
        <w:rPr>
          <w:rFonts w:eastAsia="Times New Roman" w:cs="Times New Roman"/>
        </w:rPr>
        <w:t>Second, a hadith about Adam: “While His two hands were closed, God said to Adam, ‘Choose whichever you like.’  Adam replied, ‘I choose the right hand of the Lord, though both hands of my Lord are right and blessed.’  Then God opened it, and within it were Adam and His seed.  He said, ‘My Lord, what are these?’ Go</w:t>
      </w:r>
      <w:r w:rsidR="006B54F7">
        <w:rPr>
          <w:rFonts w:eastAsia="Times New Roman" w:cs="Times New Roman"/>
        </w:rPr>
        <w:t>d replied, ‘These are your seed</w:t>
      </w:r>
      <w:r w:rsidR="002822CA">
        <w:rPr>
          <w:rFonts w:eastAsia="Times New Roman" w:cs="Times New Roman"/>
        </w:rPr>
        <w:t>’”</w:t>
      </w:r>
      <w:r w:rsidR="00B46A3E">
        <w:rPr>
          <w:rFonts w:eastAsia="Times New Roman" w:cs="Times New Roman"/>
        </w:rPr>
        <w:t xml:space="preserve"> (</w:t>
      </w:r>
      <w:proofErr w:type="spellStart"/>
      <w:r w:rsidR="00B46A3E">
        <w:rPr>
          <w:rFonts w:eastAsia="Times New Roman" w:cs="Times New Roman"/>
        </w:rPr>
        <w:t>Chittick</w:t>
      </w:r>
      <w:proofErr w:type="spellEnd"/>
      <w:r w:rsidR="00B46A3E">
        <w:rPr>
          <w:rFonts w:eastAsia="Times New Roman" w:cs="Times New Roman"/>
        </w:rPr>
        <w:t xml:space="preserve"> 1989: 114</w:t>
      </w:r>
      <w:r w:rsidR="006B54F7">
        <w:rPr>
          <w:rFonts w:eastAsia="Times New Roman" w:cs="Times New Roman"/>
        </w:rPr>
        <w:t>).</w:t>
      </w:r>
      <w:r w:rsidR="00862413">
        <w:rPr>
          <w:rFonts w:eastAsia="Times New Roman" w:cs="Times New Roman"/>
        </w:rPr>
        <w:t xml:space="preserve"> </w:t>
      </w:r>
      <w:proofErr w:type="spellStart"/>
      <w:r w:rsidR="0033441F">
        <w:rPr>
          <w:rFonts w:eastAsia="Times New Roman" w:cs="Times New Roman"/>
        </w:rPr>
        <w:t>Ibn</w:t>
      </w:r>
      <w:proofErr w:type="spellEnd"/>
      <w:r w:rsidR="0033441F">
        <w:rPr>
          <w:rFonts w:eastAsia="Times New Roman" w:cs="Times New Roman"/>
        </w:rPr>
        <w:t xml:space="preserve"> al-‘</w:t>
      </w:r>
      <w:proofErr w:type="spellStart"/>
      <w:r w:rsidR="0033441F">
        <w:rPr>
          <w:rFonts w:eastAsia="Times New Roman" w:cs="Times New Roman"/>
        </w:rPr>
        <w:t>Arabi</w:t>
      </w:r>
      <w:proofErr w:type="spellEnd"/>
      <w:r w:rsidR="00BB49B9">
        <w:rPr>
          <w:rFonts w:eastAsia="Times New Roman" w:cs="Times New Roman"/>
        </w:rPr>
        <w:t xml:space="preserve"> comments on these two episodes as follows:</w:t>
      </w:r>
      <w:r w:rsidR="002822CA">
        <w:rPr>
          <w:rFonts w:eastAsia="Times New Roman" w:cs="Times New Roman"/>
        </w:rPr>
        <w:t xml:space="preserve"> </w:t>
      </w:r>
    </w:p>
    <w:p w14:paraId="32645AAE" w14:textId="1F17F67B" w:rsidR="004555F8" w:rsidRDefault="002822CA" w:rsidP="00954503">
      <w:pPr>
        <w:ind w:left="720"/>
        <w:rPr>
          <w:rFonts w:eastAsia="Times New Roman" w:cs="Times New Roman"/>
        </w:rPr>
      </w:pPr>
      <w:r>
        <w:rPr>
          <w:rFonts w:eastAsia="Times New Roman" w:cs="Times New Roman"/>
        </w:rPr>
        <w:t>Adam was in the hand while he was also outside of it.  Such also is the case in this question: When you consider, you will see that the cosmos is with the Real</w:t>
      </w:r>
      <w:r w:rsidR="00BB49B9">
        <w:rPr>
          <w:rFonts w:eastAsia="Times New Roman" w:cs="Times New Roman"/>
        </w:rPr>
        <w:t xml:space="preserve"> [i.e., God]</w:t>
      </w:r>
      <w:r>
        <w:rPr>
          <w:rFonts w:eastAsia="Times New Roman" w:cs="Times New Roman"/>
        </w:rPr>
        <w:t xml:space="preserve"> in this manner</w:t>
      </w:r>
      <w:r w:rsidR="00BB49B9">
        <w:rPr>
          <w:rFonts w:eastAsia="Times New Roman" w:cs="Times New Roman"/>
        </w:rPr>
        <w:t>.  This is a place of bewilderment: He/not-He.  “You did not throw when you threw, but God threw.”… Would that I knew who is the middle, the one who stands between the negation—His words “You did not throw”—and the affirmation—His words “But He threw.”  He is saying, “You are not you w</w:t>
      </w:r>
      <w:r w:rsidR="006B54F7">
        <w:rPr>
          <w:rFonts w:eastAsia="Times New Roman" w:cs="Times New Roman"/>
        </w:rPr>
        <w:t>hen you are you, but God is you” (</w:t>
      </w:r>
      <w:proofErr w:type="spellStart"/>
      <w:r w:rsidR="00862413">
        <w:t>Chittick</w:t>
      </w:r>
      <w:proofErr w:type="spellEnd"/>
      <w:r w:rsidR="00862413">
        <w:t xml:space="preserve"> 1989: 114f</w:t>
      </w:r>
      <w:r w:rsidR="006B54F7">
        <w:rPr>
          <w:rFonts w:eastAsia="Times New Roman" w:cs="Times New Roman"/>
        </w:rPr>
        <w:t>).</w:t>
      </w:r>
    </w:p>
    <w:p w14:paraId="26088463" w14:textId="2116D761" w:rsidR="0033441F" w:rsidRDefault="00BB49B9" w:rsidP="00954503">
      <w:pPr>
        <w:rPr>
          <w:rFonts w:eastAsia="Times New Roman" w:cs="Times New Roman"/>
        </w:rPr>
      </w:pPr>
      <w:r>
        <w:rPr>
          <w:rFonts w:eastAsia="Times New Roman" w:cs="Times New Roman"/>
        </w:rPr>
        <w:t>In other words, everything that exists apart from God contains within itself the paradox of He/not-He—</w:t>
      </w:r>
      <w:r w:rsidR="0033441F">
        <w:rPr>
          <w:rFonts w:eastAsia="Times New Roman" w:cs="Times New Roman"/>
        </w:rPr>
        <w:t xml:space="preserve">it </w:t>
      </w:r>
      <w:r>
        <w:rPr>
          <w:rFonts w:eastAsia="Times New Roman" w:cs="Times New Roman"/>
        </w:rPr>
        <w:t xml:space="preserve">is both God and not-God.  </w:t>
      </w:r>
      <w:proofErr w:type="gramStart"/>
      <w:r>
        <w:rPr>
          <w:rFonts w:eastAsia="Times New Roman" w:cs="Times New Roman"/>
        </w:rPr>
        <w:t xml:space="preserve">The paradoxical nature of existence (and God’s relation to existence) cannot be grasped by the rational faculty, which </w:t>
      </w:r>
      <w:r w:rsidR="00423184">
        <w:rPr>
          <w:rFonts w:eastAsia="Times New Roman" w:cs="Times New Roman"/>
        </w:rPr>
        <w:t>understands meaning</w:t>
      </w:r>
      <w:r>
        <w:rPr>
          <w:rFonts w:eastAsia="Times New Roman" w:cs="Times New Roman"/>
        </w:rPr>
        <w:t xml:space="preserve"> </w:t>
      </w:r>
      <w:r w:rsidR="00423184">
        <w:rPr>
          <w:rFonts w:eastAsia="Times New Roman" w:cs="Times New Roman"/>
        </w:rPr>
        <w:t>“</w:t>
      </w:r>
      <w:r>
        <w:rPr>
          <w:rFonts w:eastAsia="Times New Roman" w:cs="Times New Roman"/>
        </w:rPr>
        <w:t>through</w:t>
      </w:r>
      <w:r w:rsidR="00423184">
        <w:rPr>
          <w:rFonts w:eastAsia="Times New Roman" w:cs="Times New Roman"/>
        </w:rPr>
        <w:t xml:space="preserve"> proofs or a priori,”</w:t>
      </w:r>
      <w:proofErr w:type="gramEnd"/>
      <w:r w:rsidR="00423184">
        <w:rPr>
          <w:rFonts w:eastAsia="Times New Roman" w:cs="Times New Roman"/>
        </w:rPr>
        <w:t xml:space="preserve"> nor can it be grasped by the senses, which understand through sense perception.  Rather, such paradoxes can </w:t>
      </w:r>
      <w:r w:rsidR="0090229D">
        <w:rPr>
          <w:rFonts w:eastAsia="Times New Roman" w:cs="Times New Roman"/>
        </w:rPr>
        <w:t xml:space="preserve">be grasped </w:t>
      </w:r>
      <w:r w:rsidR="00871F24">
        <w:rPr>
          <w:rFonts w:eastAsia="Times New Roman" w:cs="Times New Roman"/>
        </w:rPr>
        <w:t xml:space="preserve">only </w:t>
      </w:r>
      <w:r w:rsidR="0090229D">
        <w:rPr>
          <w:rFonts w:eastAsia="Times New Roman" w:cs="Times New Roman"/>
        </w:rPr>
        <w:t>as “</w:t>
      </w:r>
      <w:proofErr w:type="spellStart"/>
      <w:r w:rsidR="0090229D">
        <w:rPr>
          <w:rFonts w:eastAsia="Times New Roman" w:cs="Times New Roman"/>
        </w:rPr>
        <w:t>imaginal</w:t>
      </w:r>
      <w:proofErr w:type="spellEnd"/>
      <w:r w:rsidR="0090229D">
        <w:rPr>
          <w:rFonts w:eastAsia="Times New Roman" w:cs="Times New Roman"/>
        </w:rPr>
        <w:t xml:space="preserve"> things,</w:t>
      </w:r>
      <w:r w:rsidR="00423184">
        <w:rPr>
          <w:rFonts w:eastAsia="Times New Roman" w:cs="Times New Roman"/>
        </w:rPr>
        <w:t>”</w:t>
      </w:r>
      <w:r w:rsidR="0090229D">
        <w:rPr>
          <w:rFonts w:eastAsia="Times New Roman" w:cs="Times New Roman"/>
        </w:rPr>
        <w:t xml:space="preserve"> for only t</w:t>
      </w:r>
      <w:r w:rsidR="00423184">
        <w:rPr>
          <w:rFonts w:eastAsia="Times New Roman" w:cs="Times New Roman"/>
        </w:rPr>
        <w:t>he imagination is capable of giving concrete form to contradictory meanings.  So, for example, I cannot rati</w:t>
      </w:r>
      <w:r w:rsidR="0033441F">
        <w:rPr>
          <w:rFonts w:eastAsia="Times New Roman" w:cs="Times New Roman"/>
        </w:rPr>
        <w:t xml:space="preserve">onally understand the idea of an entity </w:t>
      </w:r>
      <w:r w:rsidR="00423184">
        <w:rPr>
          <w:rFonts w:eastAsia="Times New Roman" w:cs="Times New Roman"/>
        </w:rPr>
        <w:t xml:space="preserve">that is both dead and </w:t>
      </w:r>
      <w:r w:rsidR="004555F8">
        <w:rPr>
          <w:rFonts w:eastAsia="Times New Roman" w:cs="Times New Roman"/>
        </w:rPr>
        <w:t>not dead</w:t>
      </w:r>
      <w:r w:rsidR="00423184">
        <w:rPr>
          <w:rFonts w:eastAsia="Times New Roman" w:cs="Times New Roman"/>
        </w:rPr>
        <w:t>, and I certainly cannot perceive such a thing in the empirical world, but I am perfectly capable of imagining a zombie</w:t>
      </w:r>
      <w:r w:rsidR="00871F24">
        <w:rPr>
          <w:rFonts w:eastAsia="Times New Roman" w:cs="Times New Roman"/>
        </w:rPr>
        <w:t>.</w:t>
      </w:r>
      <w:r w:rsidR="00423184">
        <w:rPr>
          <w:rFonts w:eastAsia="Times New Roman" w:cs="Times New Roman"/>
        </w:rPr>
        <w:t xml:space="preserve"> </w:t>
      </w:r>
      <w:r w:rsidR="0033441F">
        <w:rPr>
          <w:rFonts w:eastAsia="Times New Roman" w:cs="Times New Roman"/>
        </w:rPr>
        <w:t xml:space="preserve"> </w:t>
      </w:r>
      <w:r w:rsidR="00423184">
        <w:rPr>
          <w:rFonts w:eastAsia="Times New Roman" w:cs="Times New Roman"/>
        </w:rPr>
        <w:t xml:space="preserve">Similarly, I cannot understand He/not-He on the basis of reason or sense perception, but I can imagine it.  As </w:t>
      </w:r>
      <w:proofErr w:type="spellStart"/>
      <w:r w:rsidR="00423184">
        <w:rPr>
          <w:rFonts w:eastAsia="Times New Roman" w:cs="Times New Roman"/>
        </w:rPr>
        <w:t>Ibn</w:t>
      </w:r>
      <w:proofErr w:type="spellEnd"/>
      <w:r w:rsidR="00423184">
        <w:rPr>
          <w:rFonts w:eastAsia="Times New Roman" w:cs="Times New Roman"/>
        </w:rPr>
        <w:t xml:space="preserve"> al-‘</w:t>
      </w:r>
      <w:proofErr w:type="spellStart"/>
      <w:r w:rsidR="00423184">
        <w:rPr>
          <w:rFonts w:eastAsia="Times New Roman" w:cs="Times New Roman"/>
        </w:rPr>
        <w:t>Arabi</w:t>
      </w:r>
      <w:proofErr w:type="spellEnd"/>
      <w:r w:rsidR="00423184">
        <w:rPr>
          <w:rFonts w:eastAsia="Times New Roman" w:cs="Times New Roman"/>
        </w:rPr>
        <w:t xml:space="preserve"> puts it, “It is impossible for sense perception or the rational facult</w:t>
      </w:r>
      <w:r w:rsidR="0033441F">
        <w:rPr>
          <w:rFonts w:eastAsia="Times New Roman" w:cs="Times New Roman"/>
        </w:rPr>
        <w:t xml:space="preserve">y to bring together opposites, </w:t>
      </w:r>
      <w:r w:rsidR="00423184">
        <w:rPr>
          <w:rFonts w:eastAsia="Times New Roman" w:cs="Times New Roman"/>
        </w:rPr>
        <w:t>but it is not impossible for the imagination</w:t>
      </w:r>
      <w:r w:rsidR="0033441F">
        <w:rPr>
          <w:rFonts w:eastAsia="Times New Roman" w:cs="Times New Roman"/>
        </w:rPr>
        <w:t>… Hence nothing has truly gained possession of the [</w:t>
      </w:r>
      <w:r w:rsidR="006B54F7">
        <w:rPr>
          <w:rFonts w:eastAsia="Times New Roman" w:cs="Times New Roman"/>
        </w:rPr>
        <w:t>Divine] Form except imagination</w:t>
      </w:r>
      <w:r w:rsidR="00423184">
        <w:rPr>
          <w:rFonts w:eastAsia="Times New Roman" w:cs="Times New Roman"/>
        </w:rPr>
        <w:t>”</w:t>
      </w:r>
      <w:r w:rsidR="00F013EE">
        <w:rPr>
          <w:rFonts w:eastAsia="Times New Roman" w:cs="Times New Roman"/>
        </w:rPr>
        <w:t xml:space="preserve"> </w:t>
      </w:r>
      <w:r w:rsidR="006B54F7">
        <w:rPr>
          <w:rFonts w:eastAsia="Times New Roman" w:cs="Times New Roman"/>
        </w:rPr>
        <w:t>(</w:t>
      </w:r>
      <w:proofErr w:type="spellStart"/>
      <w:r w:rsidR="00D523A0">
        <w:t>Chittick</w:t>
      </w:r>
      <w:proofErr w:type="spellEnd"/>
      <w:r w:rsidR="00D523A0">
        <w:t xml:space="preserve"> 1989: 115f</w:t>
      </w:r>
      <w:r w:rsidR="006B54F7">
        <w:rPr>
          <w:rFonts w:eastAsia="Times New Roman" w:cs="Times New Roman"/>
        </w:rPr>
        <w:t>).</w:t>
      </w:r>
      <w:r w:rsidR="0033441F">
        <w:rPr>
          <w:rFonts w:eastAsia="Times New Roman" w:cs="Times New Roman"/>
        </w:rPr>
        <w:t xml:space="preserve"> </w:t>
      </w:r>
      <w:r w:rsidR="00F013EE">
        <w:rPr>
          <w:rFonts w:eastAsia="Times New Roman" w:cs="Times New Roman"/>
        </w:rPr>
        <w:t xml:space="preserve"> </w:t>
      </w:r>
      <w:r w:rsidR="0033441F">
        <w:rPr>
          <w:rFonts w:eastAsia="Times New Roman" w:cs="Times New Roman"/>
        </w:rPr>
        <w:t xml:space="preserve">We </w:t>
      </w:r>
      <w:r w:rsidR="00094E3C">
        <w:rPr>
          <w:rFonts w:eastAsia="Times New Roman" w:cs="Times New Roman"/>
        </w:rPr>
        <w:t xml:space="preserve">ultimately </w:t>
      </w:r>
      <w:r w:rsidR="0033441F">
        <w:rPr>
          <w:rFonts w:eastAsia="Times New Roman" w:cs="Times New Roman"/>
        </w:rPr>
        <w:t>encounter God through the imagination.</w:t>
      </w:r>
      <w:r w:rsidR="008E7D16">
        <w:rPr>
          <w:rStyle w:val="FootnoteReference"/>
          <w:rFonts w:eastAsia="Times New Roman" w:cs="Times New Roman"/>
        </w:rPr>
        <w:footnoteReference w:id="16"/>
      </w:r>
    </w:p>
    <w:p w14:paraId="557609D9" w14:textId="12C326BE" w:rsidR="00992D0C" w:rsidRDefault="0033441F" w:rsidP="00954503">
      <w:pPr>
        <w:rPr>
          <w:rFonts w:eastAsia="Times New Roman" w:cs="Times New Roman"/>
        </w:rPr>
      </w:pPr>
      <w:r>
        <w:rPr>
          <w:rFonts w:eastAsia="Times New Roman" w:cs="Times New Roman"/>
        </w:rPr>
        <w:tab/>
        <w:t xml:space="preserve">It is important not to let modern </w:t>
      </w:r>
      <w:r w:rsidR="00094E3C">
        <w:rPr>
          <w:rFonts w:eastAsia="Times New Roman" w:cs="Times New Roman"/>
        </w:rPr>
        <w:t>concepts of</w:t>
      </w:r>
      <w:r>
        <w:rPr>
          <w:rFonts w:eastAsia="Times New Roman" w:cs="Times New Roman"/>
        </w:rPr>
        <w:t xml:space="preserve"> “imagination” </w:t>
      </w:r>
      <w:r w:rsidR="008E7D16">
        <w:rPr>
          <w:rFonts w:eastAsia="Times New Roman" w:cs="Times New Roman"/>
        </w:rPr>
        <w:t>restrict</w:t>
      </w:r>
      <w:r>
        <w:rPr>
          <w:rFonts w:eastAsia="Times New Roman" w:cs="Times New Roman"/>
        </w:rPr>
        <w:t xml:space="preserve"> our analysis of </w:t>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w:t>
      </w:r>
      <w:proofErr w:type="spellEnd"/>
      <w:r>
        <w:rPr>
          <w:rFonts w:eastAsia="Times New Roman" w:cs="Times New Roman"/>
        </w:rPr>
        <w:t xml:space="preserve">.  We </w:t>
      </w:r>
      <w:r w:rsidR="004555F8">
        <w:rPr>
          <w:rFonts w:eastAsia="Times New Roman" w:cs="Times New Roman"/>
        </w:rPr>
        <w:t>tend to</w:t>
      </w:r>
      <w:r>
        <w:rPr>
          <w:rFonts w:eastAsia="Times New Roman" w:cs="Times New Roman"/>
        </w:rPr>
        <w:t xml:space="preserve"> assume that reason and empirical evidence supersede the imagination, which </w:t>
      </w:r>
      <w:r w:rsidR="00DB504C">
        <w:rPr>
          <w:rFonts w:eastAsia="Times New Roman" w:cs="Times New Roman"/>
        </w:rPr>
        <w:t>we</w:t>
      </w:r>
      <w:r w:rsidR="008B4EBE">
        <w:rPr>
          <w:rFonts w:eastAsia="Times New Roman" w:cs="Times New Roman"/>
        </w:rPr>
        <w:t xml:space="preserve"> </w:t>
      </w:r>
      <w:r w:rsidR="0011563F">
        <w:rPr>
          <w:rFonts w:eastAsia="Times New Roman" w:cs="Times New Roman"/>
        </w:rPr>
        <w:t xml:space="preserve">regarded as </w:t>
      </w:r>
      <w:r w:rsidR="008B4EBE">
        <w:rPr>
          <w:rFonts w:eastAsia="Times New Roman" w:cs="Times New Roman"/>
        </w:rPr>
        <w:t xml:space="preserve">little more than </w:t>
      </w:r>
      <w:r w:rsidR="0011563F">
        <w:rPr>
          <w:rFonts w:eastAsia="Times New Roman" w:cs="Times New Roman"/>
        </w:rPr>
        <w:t>a</w:t>
      </w:r>
      <w:r w:rsidR="008B4EBE">
        <w:rPr>
          <w:rFonts w:eastAsia="Times New Roman" w:cs="Times New Roman"/>
        </w:rPr>
        <w:t xml:space="preserve"> mental realm of childish fantasy.  </w:t>
      </w:r>
      <w:proofErr w:type="spellStart"/>
      <w:r w:rsidR="008B4EBE">
        <w:rPr>
          <w:rFonts w:eastAsia="Times New Roman" w:cs="Times New Roman"/>
        </w:rPr>
        <w:t>Ibn</w:t>
      </w:r>
      <w:proofErr w:type="spellEnd"/>
      <w:r w:rsidR="008B4EBE">
        <w:rPr>
          <w:rFonts w:eastAsia="Times New Roman" w:cs="Times New Roman"/>
        </w:rPr>
        <w:t xml:space="preserve"> al-‘</w:t>
      </w:r>
      <w:proofErr w:type="spellStart"/>
      <w:r w:rsidR="008B4EBE">
        <w:rPr>
          <w:rFonts w:eastAsia="Times New Roman" w:cs="Times New Roman"/>
        </w:rPr>
        <w:t>Arabi</w:t>
      </w:r>
      <w:proofErr w:type="spellEnd"/>
      <w:r w:rsidR="008B4EBE">
        <w:rPr>
          <w:rFonts w:eastAsia="Times New Roman" w:cs="Times New Roman"/>
        </w:rPr>
        <w:t xml:space="preserve"> reminds us of the importance of </w:t>
      </w:r>
      <w:r w:rsidR="00EF7C48">
        <w:rPr>
          <w:rFonts w:eastAsia="Times New Roman" w:cs="Times New Roman"/>
        </w:rPr>
        <w:t xml:space="preserve">imagination, for imagination </w:t>
      </w:r>
      <w:r w:rsidR="008B4EBE">
        <w:rPr>
          <w:rFonts w:eastAsia="Times New Roman" w:cs="Times New Roman"/>
        </w:rPr>
        <w:t xml:space="preserve">is the </w:t>
      </w:r>
      <w:r w:rsidR="0090229D">
        <w:rPr>
          <w:rFonts w:eastAsia="Times New Roman" w:cs="Times New Roman"/>
        </w:rPr>
        <w:t xml:space="preserve">human </w:t>
      </w:r>
      <w:r w:rsidR="008B4EBE">
        <w:rPr>
          <w:rFonts w:eastAsia="Times New Roman" w:cs="Times New Roman"/>
        </w:rPr>
        <w:t>capacity that allows us to hope for a better world (ethics, justice)</w:t>
      </w:r>
      <w:r w:rsidR="00094E3C">
        <w:rPr>
          <w:rFonts w:eastAsia="Times New Roman" w:cs="Times New Roman"/>
        </w:rPr>
        <w:t>,</w:t>
      </w:r>
      <w:r w:rsidR="008B4EBE">
        <w:rPr>
          <w:rFonts w:eastAsia="Times New Roman" w:cs="Times New Roman"/>
        </w:rPr>
        <w:t xml:space="preserve"> to desire greater understanding (science, philosophy)</w:t>
      </w:r>
      <w:r w:rsidR="00094E3C">
        <w:rPr>
          <w:rFonts w:eastAsia="Times New Roman" w:cs="Times New Roman"/>
        </w:rPr>
        <w:t>,</w:t>
      </w:r>
      <w:r w:rsidR="008B4EBE">
        <w:rPr>
          <w:rFonts w:eastAsia="Times New Roman" w:cs="Times New Roman"/>
        </w:rPr>
        <w:t xml:space="preserve"> and to know God (theology).  Imagination is, for </w:t>
      </w:r>
      <w:proofErr w:type="spellStart"/>
      <w:r w:rsidR="008B4EBE">
        <w:rPr>
          <w:rFonts w:eastAsia="Times New Roman" w:cs="Times New Roman"/>
        </w:rPr>
        <w:t>Ibn</w:t>
      </w:r>
      <w:proofErr w:type="spellEnd"/>
      <w:r w:rsidR="008B4EBE">
        <w:rPr>
          <w:rFonts w:eastAsia="Times New Roman" w:cs="Times New Roman"/>
        </w:rPr>
        <w:t xml:space="preserve"> al-‘</w:t>
      </w:r>
      <w:proofErr w:type="spellStart"/>
      <w:r w:rsidR="008B4EBE">
        <w:rPr>
          <w:rFonts w:eastAsia="Times New Roman" w:cs="Times New Roman"/>
        </w:rPr>
        <w:t>Arabi</w:t>
      </w:r>
      <w:proofErr w:type="spellEnd"/>
      <w:r w:rsidR="004555F8">
        <w:rPr>
          <w:rFonts w:eastAsia="Times New Roman" w:cs="Times New Roman"/>
        </w:rPr>
        <w:t>,</w:t>
      </w:r>
      <w:r w:rsidR="008B4EBE">
        <w:rPr>
          <w:rFonts w:eastAsia="Times New Roman" w:cs="Times New Roman"/>
        </w:rPr>
        <w:t xml:space="preserve"> the highest </w:t>
      </w:r>
      <w:r w:rsidR="00094E3C">
        <w:rPr>
          <w:rFonts w:eastAsia="Times New Roman" w:cs="Times New Roman"/>
        </w:rPr>
        <w:t xml:space="preserve">capacity of the human </w:t>
      </w:r>
      <w:r w:rsidR="00094E3C">
        <w:rPr>
          <w:rFonts w:eastAsia="Times New Roman" w:cs="Times New Roman"/>
        </w:rPr>
        <w:lastRenderedPageBreak/>
        <w:t>intellect, connecting man to God.</w:t>
      </w:r>
      <w:r w:rsidR="008B4EBE">
        <w:rPr>
          <w:rFonts w:eastAsia="Times New Roman" w:cs="Times New Roman"/>
        </w:rPr>
        <w:t xml:space="preserve">  Moreover, the imagination is not strictly relegated to the human mind.  </w:t>
      </w:r>
      <w:proofErr w:type="spellStart"/>
      <w:r w:rsidR="008B4EBE">
        <w:rPr>
          <w:rFonts w:eastAsia="Times New Roman" w:cs="Times New Roman"/>
        </w:rPr>
        <w:t>Ibn</w:t>
      </w:r>
      <w:proofErr w:type="spellEnd"/>
      <w:r w:rsidR="008B4EBE">
        <w:rPr>
          <w:rFonts w:eastAsia="Times New Roman" w:cs="Times New Roman"/>
        </w:rPr>
        <w:t xml:space="preserve"> al-‘</w:t>
      </w:r>
      <w:proofErr w:type="spellStart"/>
      <w:r w:rsidR="008B4EBE">
        <w:rPr>
          <w:rFonts w:eastAsia="Times New Roman" w:cs="Times New Roman"/>
        </w:rPr>
        <w:t>Arabi</w:t>
      </w:r>
      <w:proofErr w:type="spellEnd"/>
      <w:r w:rsidR="008B4EBE">
        <w:rPr>
          <w:rFonts w:eastAsia="Times New Roman" w:cs="Times New Roman"/>
        </w:rPr>
        <w:t xml:space="preserve"> speaks of existence itself as </w:t>
      </w:r>
      <w:r w:rsidR="00EA564F">
        <w:rPr>
          <w:rFonts w:eastAsia="Times New Roman" w:cs="Times New Roman"/>
        </w:rPr>
        <w:t>an “</w:t>
      </w:r>
      <w:proofErr w:type="spellStart"/>
      <w:r w:rsidR="00EA564F">
        <w:rPr>
          <w:rFonts w:eastAsia="Times New Roman" w:cs="Times New Roman"/>
        </w:rPr>
        <w:t>imaginal</w:t>
      </w:r>
      <w:proofErr w:type="spellEnd"/>
      <w:r w:rsidR="00EA564F">
        <w:rPr>
          <w:rFonts w:eastAsia="Times New Roman" w:cs="Times New Roman"/>
        </w:rPr>
        <w:t xml:space="preserve"> act” on God’s part; everything apart from God is “</w:t>
      </w:r>
      <w:proofErr w:type="spellStart"/>
      <w:r w:rsidR="00EA564F">
        <w:rPr>
          <w:rFonts w:eastAsia="Times New Roman" w:cs="Times New Roman"/>
        </w:rPr>
        <w:t>imaginal</w:t>
      </w:r>
      <w:proofErr w:type="spellEnd"/>
      <w:r w:rsidR="00EA564F">
        <w:rPr>
          <w:rFonts w:eastAsia="Times New Roman" w:cs="Times New Roman"/>
        </w:rPr>
        <w:t>.”</w:t>
      </w:r>
      <w:r w:rsidR="00094E3C">
        <w:rPr>
          <w:rFonts w:eastAsia="Times New Roman" w:cs="Times New Roman"/>
        </w:rPr>
        <w:t xml:space="preserve">  </w:t>
      </w:r>
      <w:r w:rsidR="00EA564F">
        <w:rPr>
          <w:rFonts w:eastAsia="Times New Roman" w:cs="Times New Roman"/>
        </w:rPr>
        <w:t>Consequently, i</w:t>
      </w:r>
      <w:r w:rsidR="00094E3C">
        <w:rPr>
          <w:rFonts w:eastAsia="Times New Roman" w:cs="Times New Roman"/>
        </w:rPr>
        <w:t>magination is both epistemological, in that it allows us to know or encounter divine paradox, and ontological,</w:t>
      </w:r>
      <w:r>
        <w:rPr>
          <w:rFonts w:eastAsia="Times New Roman" w:cs="Times New Roman"/>
        </w:rPr>
        <w:t xml:space="preserve"> </w:t>
      </w:r>
      <w:r w:rsidR="00094E3C">
        <w:rPr>
          <w:rFonts w:eastAsia="Times New Roman" w:cs="Times New Roman"/>
        </w:rPr>
        <w:t xml:space="preserve">in that it </w:t>
      </w:r>
      <w:r w:rsidR="00147522">
        <w:rPr>
          <w:rFonts w:eastAsia="Times New Roman" w:cs="Times New Roman"/>
        </w:rPr>
        <w:t>constitutes</w:t>
      </w:r>
      <w:r w:rsidR="00094E3C">
        <w:rPr>
          <w:rFonts w:eastAsia="Times New Roman" w:cs="Times New Roman"/>
        </w:rPr>
        <w:t xml:space="preserve"> the essential connection between</w:t>
      </w:r>
      <w:r w:rsidR="00147522">
        <w:rPr>
          <w:rFonts w:eastAsia="Times New Roman" w:cs="Times New Roman"/>
        </w:rPr>
        <w:t xml:space="preserve"> </w:t>
      </w:r>
      <w:r w:rsidR="00094E3C">
        <w:rPr>
          <w:rFonts w:eastAsia="Times New Roman" w:cs="Times New Roman"/>
        </w:rPr>
        <w:t>f</w:t>
      </w:r>
      <w:r w:rsidR="0027329D">
        <w:rPr>
          <w:rFonts w:eastAsia="Times New Roman" w:cs="Times New Roman"/>
        </w:rPr>
        <w:t>actual and counterfactual world</w:t>
      </w:r>
      <w:r w:rsidR="00147522">
        <w:rPr>
          <w:rFonts w:eastAsia="Times New Roman" w:cs="Times New Roman"/>
        </w:rPr>
        <w:t>s</w:t>
      </w:r>
      <w:r w:rsidR="00094E3C">
        <w:rPr>
          <w:rFonts w:eastAsia="Times New Roman" w:cs="Times New Roman"/>
        </w:rPr>
        <w:t>.</w:t>
      </w:r>
      <w:r w:rsidR="00EA564F">
        <w:rPr>
          <w:rFonts w:eastAsia="Times New Roman" w:cs="Times New Roman"/>
        </w:rPr>
        <w:t xml:space="preserve"> </w:t>
      </w:r>
    </w:p>
    <w:p w14:paraId="7E64676D" w14:textId="77777777" w:rsidR="00CE5338" w:rsidRDefault="00CE5338" w:rsidP="00954503">
      <w:pPr>
        <w:rPr>
          <w:rFonts w:eastAsia="Times New Roman" w:cs="Times New Roman"/>
        </w:rPr>
      </w:pPr>
    </w:p>
    <w:p w14:paraId="2FE2AEBE" w14:textId="10DD13DE" w:rsidR="00CE5338" w:rsidRDefault="00CE5338" w:rsidP="00954503">
      <w:pPr>
        <w:rPr>
          <w:rFonts w:eastAsia="Times New Roman" w:cs="Times New Roman"/>
          <w:i/>
        </w:rPr>
      </w:pPr>
      <w:r w:rsidRPr="00CE5338">
        <w:rPr>
          <w:rFonts w:eastAsia="Times New Roman" w:cs="Times New Roman"/>
          <w:i/>
        </w:rPr>
        <w:t>III. Conclusion</w:t>
      </w:r>
      <w:r>
        <w:rPr>
          <w:rFonts w:eastAsia="Times New Roman" w:cs="Times New Roman"/>
          <w:i/>
        </w:rPr>
        <w:t>.</w:t>
      </w:r>
    </w:p>
    <w:p w14:paraId="0C4FF36F" w14:textId="77777777" w:rsidR="00D56F21" w:rsidRPr="00CE5338" w:rsidRDefault="00D56F21" w:rsidP="00954503">
      <w:pPr>
        <w:rPr>
          <w:rFonts w:eastAsia="Times New Roman" w:cs="Times New Roman"/>
          <w:i/>
        </w:rPr>
      </w:pPr>
    </w:p>
    <w:p w14:paraId="50F4D688" w14:textId="57AD8729" w:rsidR="001D0659" w:rsidRDefault="00992D0C" w:rsidP="00954503">
      <w:pPr>
        <w:rPr>
          <w:rFonts w:eastAsia="Times New Roman" w:cs="Times New Roman"/>
        </w:rPr>
      </w:pPr>
      <w:r>
        <w:rPr>
          <w:rFonts w:eastAsia="Times New Roman" w:cs="Times New Roman"/>
        </w:rPr>
        <w:tab/>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Arabi’s</w:t>
      </w:r>
      <w:proofErr w:type="spellEnd"/>
      <w:r>
        <w:rPr>
          <w:rFonts w:eastAsia="Times New Roman" w:cs="Times New Roman"/>
        </w:rPr>
        <w:t xml:space="preserve"> concept of imagination is helpful in expanding the </w:t>
      </w:r>
      <w:proofErr w:type="spellStart"/>
      <w:r>
        <w:rPr>
          <w:rFonts w:eastAsia="Times New Roman" w:cs="Times New Roman"/>
        </w:rPr>
        <w:t>Johannine</w:t>
      </w:r>
      <w:proofErr w:type="spellEnd"/>
      <w:r w:rsidR="008E7D16">
        <w:rPr>
          <w:rFonts w:eastAsia="Times New Roman" w:cs="Times New Roman"/>
        </w:rPr>
        <w:t xml:space="preserve"> hermeneutic of encounter.  Recall that the Gospel of John treats truth as </w:t>
      </w:r>
      <w:r w:rsidR="001641E2">
        <w:rPr>
          <w:rFonts w:eastAsia="Times New Roman" w:cs="Times New Roman"/>
        </w:rPr>
        <w:t xml:space="preserve">a function of </w:t>
      </w:r>
      <w:r w:rsidR="008E7D16">
        <w:rPr>
          <w:rFonts w:eastAsia="Times New Roman" w:cs="Times New Roman"/>
        </w:rPr>
        <w:t xml:space="preserve">encounter, </w:t>
      </w:r>
      <w:r w:rsidR="0027685C">
        <w:rPr>
          <w:rFonts w:eastAsia="Times New Roman" w:cs="Times New Roman"/>
        </w:rPr>
        <w:t>w</w:t>
      </w:r>
      <w:r w:rsidR="008418B4">
        <w:rPr>
          <w:rFonts w:eastAsia="Times New Roman" w:cs="Times New Roman"/>
        </w:rPr>
        <w:t>herein</w:t>
      </w:r>
      <w:r w:rsidR="008E7D16">
        <w:rPr>
          <w:rFonts w:eastAsia="Times New Roman" w:cs="Times New Roman"/>
        </w:rPr>
        <w:t xml:space="preserve"> the </w:t>
      </w:r>
      <w:proofErr w:type="spellStart"/>
      <w:r w:rsidR="008418B4">
        <w:rPr>
          <w:rFonts w:eastAsia="Times New Roman" w:cs="Times New Roman"/>
        </w:rPr>
        <w:t>Johannine</w:t>
      </w:r>
      <w:proofErr w:type="spellEnd"/>
      <w:r w:rsidR="008E7D16">
        <w:rPr>
          <w:rFonts w:eastAsia="Times New Roman" w:cs="Times New Roman"/>
        </w:rPr>
        <w:t xml:space="preserve"> community </w:t>
      </w:r>
      <w:r w:rsidR="0027685C">
        <w:rPr>
          <w:rFonts w:eastAsia="Times New Roman" w:cs="Times New Roman"/>
        </w:rPr>
        <w:t>knows the truth by repeatedly encountering</w:t>
      </w:r>
      <w:r w:rsidR="008E7D16">
        <w:rPr>
          <w:rFonts w:eastAsia="Times New Roman" w:cs="Times New Roman"/>
        </w:rPr>
        <w:t xml:space="preserve"> Christ</w:t>
      </w:r>
      <w:r w:rsidR="0027685C">
        <w:rPr>
          <w:rFonts w:eastAsia="Times New Roman" w:cs="Times New Roman"/>
        </w:rPr>
        <w:t xml:space="preserve"> in the Eucharist.  Our consideration of </w:t>
      </w:r>
      <w:proofErr w:type="spellStart"/>
      <w:r w:rsidR="0027685C">
        <w:rPr>
          <w:rFonts w:eastAsia="Times New Roman" w:cs="Times New Roman"/>
        </w:rPr>
        <w:t>Crescas</w:t>
      </w:r>
      <w:proofErr w:type="spellEnd"/>
      <w:r w:rsidR="0027685C">
        <w:rPr>
          <w:rFonts w:eastAsia="Times New Roman" w:cs="Times New Roman"/>
        </w:rPr>
        <w:t xml:space="preserve"> suggests that the “location” of such encounters might be expanded outside of a single tradition by linking the Eucharist to the act of creation—God’s love is manifest everywhere in creation.  </w:t>
      </w:r>
      <w:proofErr w:type="spellStart"/>
      <w:r w:rsidR="0027685C">
        <w:rPr>
          <w:rFonts w:eastAsia="Times New Roman" w:cs="Times New Roman"/>
        </w:rPr>
        <w:t>Ibn</w:t>
      </w:r>
      <w:proofErr w:type="spellEnd"/>
      <w:r w:rsidR="0027685C">
        <w:rPr>
          <w:rFonts w:eastAsia="Times New Roman" w:cs="Times New Roman"/>
        </w:rPr>
        <w:t xml:space="preserve"> al-‘</w:t>
      </w:r>
      <w:proofErr w:type="spellStart"/>
      <w:r w:rsidR="0027685C">
        <w:rPr>
          <w:rFonts w:eastAsia="Times New Roman" w:cs="Times New Roman"/>
        </w:rPr>
        <w:t>Arabi’s</w:t>
      </w:r>
      <w:proofErr w:type="spellEnd"/>
      <w:r w:rsidR="0027685C">
        <w:rPr>
          <w:rFonts w:eastAsia="Times New Roman" w:cs="Times New Roman"/>
        </w:rPr>
        <w:t xml:space="preserve"> concept of imagination gives us a concrete way to think about encounters in traditions other than our own. </w:t>
      </w:r>
      <w:r w:rsidR="008E7D16">
        <w:rPr>
          <w:rFonts w:eastAsia="Times New Roman" w:cs="Times New Roman"/>
        </w:rPr>
        <w:t xml:space="preserve"> If</w:t>
      </w:r>
      <w:r w:rsidR="0027685C">
        <w:rPr>
          <w:rFonts w:eastAsia="Times New Roman" w:cs="Times New Roman"/>
        </w:rPr>
        <w:t xml:space="preserve"> imagination is a </w:t>
      </w:r>
      <w:proofErr w:type="spellStart"/>
      <w:r w:rsidR="0027685C">
        <w:rPr>
          <w:rFonts w:eastAsia="Times New Roman" w:cs="Times New Roman"/>
          <w:i/>
        </w:rPr>
        <w:t>barzakh</w:t>
      </w:r>
      <w:proofErr w:type="spellEnd"/>
      <w:r w:rsidR="0027685C">
        <w:rPr>
          <w:rFonts w:eastAsia="Times New Roman" w:cs="Times New Roman"/>
        </w:rPr>
        <w:t xml:space="preserve">—an isthmus between what is and is not, the factual and the counterfactual—then it can also hold together views of </w:t>
      </w:r>
      <w:r w:rsidR="008E7D16">
        <w:rPr>
          <w:rFonts w:eastAsia="Times New Roman" w:cs="Times New Roman"/>
        </w:rPr>
        <w:t xml:space="preserve">God </w:t>
      </w:r>
      <w:r w:rsidR="0027685C">
        <w:rPr>
          <w:rFonts w:eastAsia="Times New Roman" w:cs="Times New Roman"/>
        </w:rPr>
        <w:t>in traditions</w:t>
      </w:r>
      <w:r w:rsidR="008418B4">
        <w:rPr>
          <w:rFonts w:eastAsia="Times New Roman" w:cs="Times New Roman"/>
        </w:rPr>
        <w:t xml:space="preserve"> that </w:t>
      </w:r>
      <w:r w:rsidR="008418B4" w:rsidRPr="00CE5338">
        <w:rPr>
          <w:rFonts w:eastAsia="Times New Roman" w:cs="Times New Roman"/>
          <w:i/>
        </w:rPr>
        <w:t>are</w:t>
      </w:r>
      <w:r w:rsidR="008418B4">
        <w:rPr>
          <w:rFonts w:eastAsia="Times New Roman" w:cs="Times New Roman"/>
        </w:rPr>
        <w:t xml:space="preserve"> and </w:t>
      </w:r>
      <w:r w:rsidR="008418B4" w:rsidRPr="00CE5338">
        <w:rPr>
          <w:rFonts w:eastAsia="Times New Roman" w:cs="Times New Roman"/>
          <w:i/>
        </w:rPr>
        <w:t>are not</w:t>
      </w:r>
      <w:r w:rsidR="008418B4">
        <w:rPr>
          <w:rFonts w:eastAsia="Times New Roman" w:cs="Times New Roman"/>
        </w:rPr>
        <w:t xml:space="preserve"> mine.  I can imagine myself in historical circumstances other than my own; I can imagine myself committed to scriptural and theological traditions that are not natively mine;</w:t>
      </w:r>
      <w:r w:rsidR="00CE5338">
        <w:rPr>
          <w:rFonts w:eastAsia="Times New Roman" w:cs="Times New Roman"/>
        </w:rPr>
        <w:t xml:space="preserve"> and</w:t>
      </w:r>
      <w:r w:rsidR="00EA564F">
        <w:rPr>
          <w:rFonts w:eastAsia="Times New Roman" w:cs="Times New Roman"/>
        </w:rPr>
        <w:t xml:space="preserve"> I can see “He/not-He” manifested in Judaism and Islam just as it is in Christianity.  In </w:t>
      </w:r>
      <w:r w:rsidR="00147522">
        <w:rPr>
          <w:rFonts w:eastAsia="Times New Roman" w:cs="Times New Roman"/>
        </w:rPr>
        <w:t>every case</w:t>
      </w:r>
      <w:r w:rsidR="00EA564F">
        <w:rPr>
          <w:rFonts w:eastAsia="Times New Roman" w:cs="Times New Roman"/>
        </w:rPr>
        <w:t>, my tradition is still my tradition, but through imagination I am able</w:t>
      </w:r>
      <w:r w:rsidR="00797E98">
        <w:rPr>
          <w:rFonts w:eastAsia="Times New Roman" w:cs="Times New Roman"/>
        </w:rPr>
        <w:t xml:space="preserve"> </w:t>
      </w:r>
      <w:r w:rsidR="00CE5338">
        <w:rPr>
          <w:rFonts w:eastAsia="Times New Roman" w:cs="Times New Roman"/>
        </w:rPr>
        <w:t xml:space="preserve">to hold together mine/not-mine.  </w:t>
      </w:r>
      <w:r w:rsidR="00797E98">
        <w:rPr>
          <w:rFonts w:eastAsia="Times New Roman" w:cs="Times New Roman"/>
        </w:rPr>
        <w:t>I am able to be genuinely committed to my own tradition and genuinely open to others.</w:t>
      </w:r>
      <w:r w:rsidR="00CE5338">
        <w:rPr>
          <w:rFonts w:eastAsia="Times New Roman" w:cs="Times New Roman"/>
        </w:rPr>
        <w:t xml:space="preserve">  Additionally</w:t>
      </w:r>
      <w:r w:rsidR="00180C79">
        <w:rPr>
          <w:rFonts w:eastAsia="Times New Roman" w:cs="Times New Roman"/>
        </w:rPr>
        <w:t>,</w:t>
      </w:r>
      <w:r w:rsidR="00EA564F">
        <w:rPr>
          <w:rFonts w:eastAsia="Times New Roman" w:cs="Times New Roman"/>
        </w:rPr>
        <w:t xml:space="preserve"> these sorts of imaginative </w:t>
      </w:r>
      <w:r w:rsidR="00CE5338">
        <w:rPr>
          <w:rFonts w:eastAsia="Times New Roman" w:cs="Times New Roman"/>
        </w:rPr>
        <w:t xml:space="preserve">interreligious </w:t>
      </w:r>
      <w:r w:rsidR="00EA564F">
        <w:rPr>
          <w:rFonts w:eastAsia="Times New Roman" w:cs="Times New Roman"/>
        </w:rPr>
        <w:t>encounters would not be a diminution of religious commitment, but the highest expression of it.</w:t>
      </w:r>
      <w:r w:rsidR="001145C5">
        <w:rPr>
          <w:rStyle w:val="FootnoteReference"/>
          <w:rFonts w:eastAsia="Times New Roman" w:cs="Times New Roman"/>
        </w:rPr>
        <w:footnoteReference w:id="17"/>
      </w:r>
      <w:r w:rsidR="00EA564F">
        <w:rPr>
          <w:rFonts w:eastAsia="Times New Roman" w:cs="Times New Roman"/>
        </w:rPr>
        <w:t xml:space="preserve"> </w:t>
      </w:r>
      <w:r w:rsidR="00CE5338">
        <w:rPr>
          <w:rFonts w:eastAsia="Times New Roman" w:cs="Times New Roman"/>
        </w:rPr>
        <w:t xml:space="preserve"> </w:t>
      </w:r>
      <w:r w:rsidR="003778DD">
        <w:rPr>
          <w:rFonts w:eastAsia="Times New Roman" w:cs="Times New Roman"/>
        </w:rPr>
        <w:t>Through a</w:t>
      </w:r>
      <w:r w:rsidR="0011563F">
        <w:rPr>
          <w:rFonts w:eastAsia="Times New Roman" w:cs="Times New Roman"/>
        </w:rPr>
        <w:t xml:space="preserve"> hermeneutic</w:t>
      </w:r>
      <w:r w:rsidR="005459E0">
        <w:rPr>
          <w:rFonts w:eastAsia="Times New Roman" w:cs="Times New Roman"/>
        </w:rPr>
        <w:t xml:space="preserve"> of imaginative encounter</w:t>
      </w:r>
      <w:r w:rsidR="003778DD">
        <w:rPr>
          <w:rFonts w:eastAsia="Times New Roman" w:cs="Times New Roman"/>
        </w:rPr>
        <w:t xml:space="preserve"> we prepare </w:t>
      </w:r>
      <w:r w:rsidR="007F26D2">
        <w:rPr>
          <w:rFonts w:eastAsia="Times New Roman" w:cs="Times New Roman"/>
        </w:rPr>
        <w:t xml:space="preserve">our hearts </w:t>
      </w:r>
      <w:r w:rsidR="003778DD">
        <w:rPr>
          <w:rFonts w:eastAsia="Times New Roman" w:cs="Times New Roman"/>
        </w:rPr>
        <w:t>to receive a God whose presence always exceeds expectation:</w:t>
      </w:r>
      <w:r w:rsidR="00EA564F">
        <w:rPr>
          <w:rFonts w:eastAsia="Times New Roman" w:cs="Times New Roman"/>
        </w:rPr>
        <w:t xml:space="preserve">  </w:t>
      </w:r>
    </w:p>
    <w:p w14:paraId="5A3BC1A2" w14:textId="77777777" w:rsidR="001D0659" w:rsidRDefault="001D0659" w:rsidP="00954503">
      <w:pPr>
        <w:ind w:left="720"/>
        <w:rPr>
          <w:rFonts w:eastAsia="Times New Roman" w:cs="Times New Roman"/>
        </w:rPr>
      </w:pPr>
      <w:r w:rsidRPr="001D0659">
        <w:rPr>
          <w:rFonts w:eastAsia="Times New Roman" w:cs="Times New Roman"/>
        </w:rPr>
        <w:t>My heart is capable of every form: it is a pasture for gazelles and a convent for Christian monks,</w:t>
      </w:r>
      <w:r>
        <w:rPr>
          <w:rFonts w:eastAsia="Times New Roman" w:cs="Times New Roman"/>
        </w:rPr>
        <w:t xml:space="preserve"> </w:t>
      </w:r>
    </w:p>
    <w:p w14:paraId="496F1721" w14:textId="41803D64" w:rsidR="001D0659" w:rsidRPr="001D0659" w:rsidRDefault="001D0659" w:rsidP="00954503">
      <w:pPr>
        <w:ind w:left="720"/>
        <w:rPr>
          <w:rFonts w:eastAsia="Times New Roman" w:cs="Times New Roman"/>
        </w:rPr>
      </w:pPr>
      <w:r w:rsidRPr="001D0659">
        <w:rPr>
          <w:rFonts w:eastAsia="Times New Roman" w:cs="Times New Roman"/>
        </w:rPr>
        <w:t xml:space="preserve">And a temple for idols and the pilgrim’s </w:t>
      </w:r>
      <w:proofErr w:type="spellStart"/>
      <w:r w:rsidRPr="001D0659">
        <w:rPr>
          <w:rFonts w:eastAsia="Times New Roman" w:cs="Times New Roman"/>
        </w:rPr>
        <w:t>Kaʿba</w:t>
      </w:r>
      <w:proofErr w:type="spellEnd"/>
      <w:r w:rsidRPr="001D0659">
        <w:rPr>
          <w:rFonts w:eastAsia="Times New Roman" w:cs="Times New Roman"/>
        </w:rPr>
        <w:t xml:space="preserve"> and the tables of the </w:t>
      </w:r>
      <w:proofErr w:type="spellStart"/>
      <w:r w:rsidRPr="001D0659">
        <w:rPr>
          <w:rFonts w:eastAsia="Times New Roman" w:cs="Times New Roman"/>
        </w:rPr>
        <w:t>Tora</w:t>
      </w:r>
      <w:proofErr w:type="spellEnd"/>
      <w:r w:rsidRPr="001D0659">
        <w:rPr>
          <w:rFonts w:eastAsia="Times New Roman" w:cs="Times New Roman"/>
        </w:rPr>
        <w:t xml:space="preserve"> and the book of the Koran.</w:t>
      </w:r>
    </w:p>
    <w:p w14:paraId="2DAC072B" w14:textId="37F78199" w:rsidR="00F013EE" w:rsidRDefault="001D0659" w:rsidP="00954503">
      <w:pPr>
        <w:ind w:left="720"/>
      </w:pPr>
      <w:r w:rsidRPr="001D0659">
        <w:rPr>
          <w:rFonts w:eastAsia="Times New Roman" w:cs="Times New Roman"/>
        </w:rPr>
        <w:t>I follow the religion of Love: whatever way Love’s camels take, t</w:t>
      </w:r>
      <w:r w:rsidR="006B54F7">
        <w:rPr>
          <w:rFonts w:eastAsia="Times New Roman" w:cs="Times New Roman"/>
        </w:rPr>
        <w:t>hat is my religion and my faith (</w:t>
      </w:r>
      <w:proofErr w:type="spellStart"/>
      <w:r w:rsidR="006B54F7">
        <w:t>Ibn</w:t>
      </w:r>
      <w:proofErr w:type="spellEnd"/>
      <w:r w:rsidR="006B54F7">
        <w:t xml:space="preserve"> al-‘</w:t>
      </w:r>
      <w:proofErr w:type="spellStart"/>
      <w:r w:rsidR="006B54F7">
        <w:t>Arabi</w:t>
      </w:r>
      <w:proofErr w:type="spellEnd"/>
      <w:r w:rsidR="006B54F7">
        <w:t xml:space="preserve"> 1911: 67).</w:t>
      </w:r>
    </w:p>
    <w:p w14:paraId="2D33A34D" w14:textId="77777777" w:rsidR="00F013EE" w:rsidRDefault="00F013EE">
      <w:r>
        <w:br w:type="page"/>
      </w:r>
    </w:p>
    <w:p w14:paraId="004D7E6B" w14:textId="310C853C" w:rsidR="00464F86" w:rsidRDefault="00F013EE" w:rsidP="00F013EE">
      <w:pPr>
        <w:ind w:left="720"/>
        <w:jc w:val="center"/>
        <w:rPr>
          <w:rFonts w:eastAsia="Times New Roman" w:cs="Times New Roman"/>
          <w:b/>
        </w:rPr>
      </w:pPr>
      <w:r w:rsidRPr="00F013EE">
        <w:rPr>
          <w:rFonts w:eastAsia="Times New Roman" w:cs="Times New Roman"/>
          <w:b/>
        </w:rPr>
        <w:lastRenderedPageBreak/>
        <w:t>Bibliography</w:t>
      </w:r>
    </w:p>
    <w:p w14:paraId="4860147B" w14:textId="77777777" w:rsidR="00F013EE" w:rsidRDefault="00F013EE" w:rsidP="00F013EE">
      <w:pPr>
        <w:ind w:left="720"/>
        <w:jc w:val="center"/>
        <w:rPr>
          <w:rFonts w:eastAsia="Times New Roman" w:cs="Times New Roman"/>
          <w:b/>
        </w:rPr>
      </w:pPr>
    </w:p>
    <w:p w14:paraId="7A189C2A" w14:textId="77777777" w:rsidR="00446707" w:rsidRDefault="00446707" w:rsidP="00446707"/>
    <w:p w14:paraId="75DB413A" w14:textId="6DB9237E" w:rsidR="00446707" w:rsidRDefault="00D523A0" w:rsidP="00446707">
      <w:proofErr w:type="spellStart"/>
      <w:proofErr w:type="gramStart"/>
      <w:r>
        <w:t>Ibn</w:t>
      </w:r>
      <w:proofErr w:type="spellEnd"/>
      <w:r>
        <w:t xml:space="preserve"> al-‘</w:t>
      </w:r>
      <w:proofErr w:type="spellStart"/>
      <w:r>
        <w:t>Arabi</w:t>
      </w:r>
      <w:proofErr w:type="spellEnd"/>
      <w:r>
        <w:t>.</w:t>
      </w:r>
      <w:proofErr w:type="gramEnd"/>
      <w:r>
        <w:t xml:space="preserve"> 1911.</w:t>
      </w:r>
      <w:r w:rsidR="00446707">
        <w:t xml:space="preserve"> </w:t>
      </w:r>
      <w:proofErr w:type="spellStart"/>
      <w:r w:rsidR="00446707" w:rsidRPr="00913EF7">
        <w:rPr>
          <w:i/>
        </w:rPr>
        <w:t>Tarjumān</w:t>
      </w:r>
      <w:proofErr w:type="spellEnd"/>
      <w:r w:rsidR="00446707" w:rsidRPr="00913EF7">
        <w:rPr>
          <w:i/>
        </w:rPr>
        <w:t xml:space="preserve"> al-</w:t>
      </w:r>
      <w:proofErr w:type="spellStart"/>
      <w:r w:rsidR="00446707" w:rsidRPr="00913EF7">
        <w:rPr>
          <w:i/>
        </w:rPr>
        <w:t>Ashwāq</w:t>
      </w:r>
      <w:proofErr w:type="spellEnd"/>
      <w:r w:rsidR="00446707">
        <w:rPr>
          <w:i/>
        </w:rPr>
        <w:t>: A Collection of Mystical Odes</w:t>
      </w:r>
      <w:r w:rsidR="001B0F54">
        <w:t>. Translated by</w:t>
      </w:r>
      <w:r w:rsidR="001B0F54">
        <w:tab/>
      </w:r>
      <w:proofErr w:type="spellStart"/>
      <w:r w:rsidR="001B0F54">
        <w:t>Reynold</w:t>
      </w:r>
      <w:proofErr w:type="spellEnd"/>
      <w:r w:rsidR="001B0F54">
        <w:t xml:space="preserve"> A. Nicholson.</w:t>
      </w:r>
      <w:r w:rsidR="00446707">
        <w:t xml:space="preserve"> Lon</w:t>
      </w:r>
      <w:r>
        <w:t>don: Royal Asiatic Society</w:t>
      </w:r>
      <w:r w:rsidR="00446707">
        <w:t>.</w:t>
      </w:r>
    </w:p>
    <w:p w14:paraId="776241C2" w14:textId="77777777" w:rsidR="00446707" w:rsidRDefault="00446707" w:rsidP="00F665FE">
      <w:pPr>
        <w:pStyle w:val="FootnoteText"/>
      </w:pPr>
    </w:p>
    <w:p w14:paraId="579A6F3F" w14:textId="3B065980" w:rsidR="00F665FE" w:rsidRDefault="00D523A0" w:rsidP="00F665FE">
      <w:pPr>
        <w:pStyle w:val="FootnoteText"/>
      </w:pPr>
      <w:r>
        <w:t xml:space="preserve">Barth, Karl. 1956. </w:t>
      </w:r>
      <w:r w:rsidR="00F665FE" w:rsidRPr="00F665FE">
        <w:rPr>
          <w:i/>
        </w:rPr>
        <w:t xml:space="preserve">Church </w:t>
      </w:r>
      <w:proofErr w:type="spellStart"/>
      <w:r w:rsidR="00F665FE" w:rsidRPr="00F665FE">
        <w:rPr>
          <w:i/>
        </w:rPr>
        <w:t>Dogmatics</w:t>
      </w:r>
      <w:proofErr w:type="spellEnd"/>
      <w:r w:rsidR="00F665FE" w:rsidRPr="00F665FE">
        <w:t xml:space="preserve">, I/2.  Translated by G. T. </w:t>
      </w:r>
      <w:r>
        <w:t>Thomson and Harold</w:t>
      </w:r>
      <w:r>
        <w:tab/>
        <w:t xml:space="preserve">Knight. </w:t>
      </w:r>
      <w:r w:rsidR="00F665FE" w:rsidRPr="00F665FE">
        <w:t>Lond</w:t>
      </w:r>
      <w:r>
        <w:t>on and New York: T&amp;T Clark</w:t>
      </w:r>
      <w:r w:rsidR="00F665FE" w:rsidRPr="00F665FE">
        <w:t>.</w:t>
      </w:r>
    </w:p>
    <w:p w14:paraId="0B65B341" w14:textId="77777777" w:rsidR="00F665FE" w:rsidRDefault="00F665FE" w:rsidP="00F665FE"/>
    <w:p w14:paraId="1A32F623" w14:textId="742E8740" w:rsidR="00F665FE" w:rsidRDefault="00F665FE" w:rsidP="00F665FE">
      <w:proofErr w:type="spellStart"/>
      <w:r>
        <w:t>Barua</w:t>
      </w:r>
      <w:proofErr w:type="spellEnd"/>
      <w:r>
        <w:t xml:space="preserve">, </w:t>
      </w:r>
      <w:proofErr w:type="spellStart"/>
      <w:r>
        <w:t>Ankar</w:t>
      </w:r>
      <w:proofErr w:type="spellEnd"/>
      <w:r>
        <w:t>.</w:t>
      </w:r>
      <w:r w:rsidR="00D523A0">
        <w:t xml:space="preserve"> 2014. </w:t>
      </w:r>
      <w:r>
        <w:t>“</w:t>
      </w:r>
      <w:r w:rsidRPr="00D44CA5">
        <w:t>Interreligious Dialogue</w:t>
      </w:r>
      <w:r>
        <w:t>, Comparati</w:t>
      </w:r>
      <w:r w:rsidR="00D523A0">
        <w:t xml:space="preserve">ve Theology and the </w:t>
      </w:r>
      <w:proofErr w:type="spellStart"/>
      <w:r w:rsidR="00D523A0">
        <w:t>Alterity</w:t>
      </w:r>
      <w:proofErr w:type="spellEnd"/>
      <w:r w:rsidR="00D523A0">
        <w:tab/>
        <w:t xml:space="preserve">of </w:t>
      </w:r>
      <w:r>
        <w:t xml:space="preserve">Hindu Thought,” </w:t>
      </w:r>
      <w:r>
        <w:rPr>
          <w:i/>
        </w:rPr>
        <w:t>Studies in World Christianity</w:t>
      </w:r>
      <w:r>
        <w:t xml:space="preserve"> 20.3: 215-237.</w:t>
      </w:r>
    </w:p>
    <w:p w14:paraId="30196AB7" w14:textId="77777777" w:rsidR="00F665FE" w:rsidRDefault="00F665FE" w:rsidP="00F665FE"/>
    <w:p w14:paraId="35D8498D" w14:textId="683690E4" w:rsidR="00F665FE" w:rsidRDefault="00F665FE" w:rsidP="00F665FE">
      <w:r>
        <w:t>Brown, Raymond.</w:t>
      </w:r>
      <w:r w:rsidR="00D523A0">
        <w:t xml:space="preserve"> 1978.</w:t>
      </w:r>
      <w:r>
        <w:t xml:space="preserve"> </w:t>
      </w:r>
      <w:r>
        <w:rPr>
          <w:i/>
        </w:rPr>
        <w:t xml:space="preserve">Community of the Beloved Disciple: </w:t>
      </w:r>
      <w:r w:rsidR="00D523A0">
        <w:rPr>
          <w:i/>
        </w:rPr>
        <w:t>The Life, Loves and Hates</w:t>
      </w:r>
      <w:r w:rsidR="00D523A0">
        <w:rPr>
          <w:i/>
        </w:rPr>
        <w:tab/>
        <w:t xml:space="preserve">of an </w:t>
      </w:r>
      <w:r>
        <w:rPr>
          <w:i/>
        </w:rPr>
        <w:t>Indi</w:t>
      </w:r>
      <w:r w:rsidR="001B0F54">
        <w:rPr>
          <w:i/>
        </w:rPr>
        <w:t>vidual Church in New Testament.</w:t>
      </w:r>
      <w:r>
        <w:rPr>
          <w:i/>
        </w:rPr>
        <w:t xml:space="preserve"> </w:t>
      </w:r>
      <w:r w:rsidR="00D523A0">
        <w:t xml:space="preserve">Mahwah, NJ: </w:t>
      </w:r>
      <w:proofErr w:type="spellStart"/>
      <w:r w:rsidR="00D523A0">
        <w:t>Paulist</w:t>
      </w:r>
      <w:proofErr w:type="spellEnd"/>
      <w:r w:rsidR="00D523A0">
        <w:t xml:space="preserve"> Press</w:t>
      </w:r>
      <w:r>
        <w:t>.</w:t>
      </w:r>
    </w:p>
    <w:p w14:paraId="458A7533" w14:textId="77777777" w:rsidR="00F665FE" w:rsidRDefault="00F665FE" w:rsidP="00F665FE"/>
    <w:p w14:paraId="123291E3" w14:textId="0366D9DD" w:rsidR="00446707" w:rsidRDefault="00446707" w:rsidP="00446707">
      <w:proofErr w:type="spellStart"/>
      <w:r>
        <w:t>Chittick</w:t>
      </w:r>
      <w:proofErr w:type="spellEnd"/>
      <w:r>
        <w:t xml:space="preserve">, William C. </w:t>
      </w:r>
      <w:r w:rsidR="00D523A0">
        <w:t xml:space="preserve">1989. </w:t>
      </w:r>
      <w:proofErr w:type="gramStart"/>
      <w:r w:rsidR="001B0F54">
        <w:rPr>
          <w:i/>
        </w:rPr>
        <w:t>The Sufi Path of Knowledge.</w:t>
      </w:r>
      <w:proofErr w:type="gramEnd"/>
      <w:r>
        <w:rPr>
          <w:i/>
        </w:rPr>
        <w:t xml:space="preserve"> </w:t>
      </w:r>
      <w:r w:rsidR="00D523A0">
        <w:t>Albany, NY: SUNY Press</w:t>
      </w:r>
      <w:r>
        <w:t>.</w:t>
      </w:r>
    </w:p>
    <w:p w14:paraId="3C43DAED" w14:textId="77777777" w:rsidR="00446707" w:rsidRDefault="00446707" w:rsidP="00F665FE">
      <w:pPr>
        <w:pStyle w:val="FootnoteText"/>
      </w:pPr>
    </w:p>
    <w:p w14:paraId="6C293063" w14:textId="478E26BD" w:rsidR="00F665FE" w:rsidRDefault="00F665FE" w:rsidP="00F665FE">
      <w:pPr>
        <w:pStyle w:val="FootnoteText"/>
      </w:pPr>
      <w:proofErr w:type="gramStart"/>
      <w:r>
        <w:t>Clark-Soles, Jaime.</w:t>
      </w:r>
      <w:proofErr w:type="gramEnd"/>
      <w:r w:rsidR="00D523A0">
        <w:t xml:space="preserve"> 2003. </w:t>
      </w:r>
      <w:r>
        <w:rPr>
          <w:i/>
        </w:rPr>
        <w:t xml:space="preserve">Scripture </w:t>
      </w:r>
      <w:proofErr w:type="gramStart"/>
      <w:r>
        <w:rPr>
          <w:i/>
        </w:rPr>
        <w:t>Cannot</w:t>
      </w:r>
      <w:proofErr w:type="gramEnd"/>
      <w:r>
        <w:rPr>
          <w:i/>
        </w:rPr>
        <w:t xml:space="preserve"> be Broken: Th</w:t>
      </w:r>
      <w:r w:rsidR="00EC48FB">
        <w:rPr>
          <w:i/>
        </w:rPr>
        <w:t>e S</w:t>
      </w:r>
      <w:r w:rsidR="00D523A0">
        <w:rPr>
          <w:i/>
        </w:rPr>
        <w:t>ocial Function of the Use</w:t>
      </w:r>
      <w:r w:rsidR="00D523A0">
        <w:rPr>
          <w:i/>
        </w:rPr>
        <w:tab/>
        <w:t xml:space="preserve">of </w:t>
      </w:r>
      <w:r w:rsidR="001B0F54">
        <w:rPr>
          <w:i/>
        </w:rPr>
        <w:t>Scripture in the Fourth Gospel.</w:t>
      </w:r>
      <w:r>
        <w:rPr>
          <w:i/>
        </w:rPr>
        <w:t xml:space="preserve"> </w:t>
      </w:r>
      <w:r w:rsidR="00D523A0">
        <w:t>Boston and Leiden: Brill</w:t>
      </w:r>
      <w:r>
        <w:t>.</w:t>
      </w:r>
    </w:p>
    <w:p w14:paraId="03322594" w14:textId="77777777" w:rsidR="00F665FE" w:rsidRDefault="00F665FE" w:rsidP="00F665FE">
      <w:pPr>
        <w:pStyle w:val="FootnoteText"/>
      </w:pPr>
    </w:p>
    <w:p w14:paraId="5A1FCBB1" w14:textId="434758D6" w:rsidR="00F665FE" w:rsidRDefault="00F665FE" w:rsidP="00F665FE">
      <w:pPr>
        <w:pStyle w:val="FootnoteText"/>
      </w:pPr>
      <w:r>
        <w:t>Clooney, Francis.</w:t>
      </w:r>
      <w:r w:rsidR="001B0F54">
        <w:t xml:space="preserve"> 2010.</w:t>
      </w:r>
      <w:r>
        <w:t xml:space="preserve"> </w:t>
      </w:r>
      <w:r>
        <w:rPr>
          <w:i/>
        </w:rPr>
        <w:t>Comparative Theology:</w:t>
      </w:r>
      <w:r w:rsidR="001B0F54">
        <w:rPr>
          <w:i/>
        </w:rPr>
        <w:t xml:space="preserve"> Deep Learning Across Religious</w:t>
      </w:r>
      <w:r w:rsidR="001B0F54">
        <w:rPr>
          <w:i/>
        </w:rPr>
        <w:tab/>
      </w:r>
      <w:r>
        <w:rPr>
          <w:i/>
        </w:rPr>
        <w:t>Borders</w:t>
      </w:r>
      <w:r w:rsidR="001B0F54">
        <w:t>. Oxford: Wiley-Blackwell</w:t>
      </w:r>
      <w:r>
        <w:t>.</w:t>
      </w:r>
    </w:p>
    <w:p w14:paraId="564CDC48" w14:textId="77777777" w:rsidR="00F665FE" w:rsidRDefault="00F665FE" w:rsidP="00F013EE"/>
    <w:p w14:paraId="6EBD0E8E" w14:textId="0F275F1C" w:rsidR="00F665FE" w:rsidRDefault="00F665FE" w:rsidP="00F665FE">
      <w:proofErr w:type="spellStart"/>
      <w:r w:rsidRPr="00B444B1">
        <w:t>Crescas</w:t>
      </w:r>
      <w:proofErr w:type="spellEnd"/>
      <w:r>
        <w:t xml:space="preserve">, </w:t>
      </w:r>
      <w:proofErr w:type="spellStart"/>
      <w:r>
        <w:t>Hasdai</w:t>
      </w:r>
      <w:proofErr w:type="spellEnd"/>
      <w:r>
        <w:t>.</w:t>
      </w:r>
      <w:r w:rsidR="001B0F54">
        <w:t xml:space="preserve"> 1998.</w:t>
      </w:r>
      <w:r>
        <w:t xml:space="preserve"> </w:t>
      </w:r>
      <w:r>
        <w:rPr>
          <w:i/>
        </w:rPr>
        <w:t xml:space="preserve">Or </w:t>
      </w:r>
      <w:proofErr w:type="spellStart"/>
      <w:r>
        <w:rPr>
          <w:i/>
        </w:rPr>
        <w:t>Adonai</w:t>
      </w:r>
      <w:proofErr w:type="spellEnd"/>
      <w:r w:rsidR="001B0F54">
        <w:t>.</w:t>
      </w:r>
      <w:r>
        <w:t xml:space="preserve"> Translated by Warren Zev Harvey (</w:t>
      </w:r>
      <w:r w:rsidR="001B0F54">
        <w:t>sections in</w:t>
      </w:r>
      <w:r w:rsidR="001B0F54">
        <w:tab/>
      </w:r>
      <w:r w:rsidR="001B0F54">
        <w:rPr>
          <w:i/>
        </w:rPr>
        <w:t xml:space="preserve">Physics and </w:t>
      </w:r>
      <w:r>
        <w:rPr>
          <w:i/>
        </w:rPr>
        <w:t xml:space="preserve">Metaphysics in </w:t>
      </w:r>
      <w:proofErr w:type="spellStart"/>
      <w:r>
        <w:rPr>
          <w:i/>
        </w:rPr>
        <w:t>Hasdai</w:t>
      </w:r>
      <w:proofErr w:type="spellEnd"/>
      <w:r>
        <w:rPr>
          <w:i/>
        </w:rPr>
        <w:t xml:space="preserve"> </w:t>
      </w:r>
      <w:proofErr w:type="spellStart"/>
      <w:r>
        <w:rPr>
          <w:i/>
        </w:rPr>
        <w:t>Crescas</w:t>
      </w:r>
      <w:proofErr w:type="spellEnd"/>
      <w:r w:rsidR="001B0F54">
        <w:t xml:space="preserve">) Amsterdam: J. C. </w:t>
      </w:r>
      <w:proofErr w:type="spellStart"/>
      <w:r w:rsidR="001B0F54">
        <w:t>Gieben</w:t>
      </w:r>
      <w:proofErr w:type="spellEnd"/>
      <w:r>
        <w:t>.</w:t>
      </w:r>
    </w:p>
    <w:p w14:paraId="65E43FE4" w14:textId="77777777" w:rsidR="00F665FE" w:rsidRDefault="00F665FE" w:rsidP="00F665FE"/>
    <w:p w14:paraId="12ADDB64" w14:textId="60C24D3E" w:rsidR="00F665FE" w:rsidRDefault="00F665FE" w:rsidP="00F665FE">
      <w:r>
        <w:t>Culpepper, R. Alan.</w:t>
      </w:r>
      <w:r w:rsidR="001B0F54">
        <w:t xml:space="preserve"> 2008.</w:t>
      </w:r>
      <w:r>
        <w:t xml:space="preserve"> “Cognition in John: The </w:t>
      </w:r>
      <w:proofErr w:type="spellStart"/>
      <w:r>
        <w:t>Johannin</w:t>
      </w:r>
      <w:r w:rsidR="001B0F54">
        <w:t>e</w:t>
      </w:r>
      <w:proofErr w:type="spellEnd"/>
      <w:r w:rsidR="001B0F54">
        <w:t xml:space="preserve"> Signs as Recognition</w:t>
      </w:r>
      <w:r w:rsidR="001B0F54">
        <w:tab/>
        <w:t xml:space="preserve">Scenes,” </w:t>
      </w:r>
      <w:r>
        <w:rPr>
          <w:i/>
        </w:rPr>
        <w:t>Perspectives in Religious Studies: Journal of the NABPR</w:t>
      </w:r>
      <w:r w:rsidR="001B0F54">
        <w:t xml:space="preserve"> 35:3</w:t>
      </w:r>
      <w:r>
        <w:t>.</w:t>
      </w:r>
    </w:p>
    <w:p w14:paraId="3FA0B0DD" w14:textId="77777777" w:rsidR="00F665FE" w:rsidRDefault="00F665FE" w:rsidP="00F665FE"/>
    <w:p w14:paraId="342C7834" w14:textId="0D86304D" w:rsidR="00F665FE" w:rsidRDefault="00F665FE" w:rsidP="00F665FE">
      <w:r w:rsidRPr="00D8232B">
        <w:t>Culpepper,</w:t>
      </w:r>
      <w:r>
        <w:t xml:space="preserve"> R. Alan.</w:t>
      </w:r>
      <w:r w:rsidR="001B0F54">
        <w:t xml:space="preserve"> 1998.</w:t>
      </w:r>
      <w:r w:rsidRPr="00D8232B">
        <w:t xml:space="preserve"> </w:t>
      </w:r>
      <w:r w:rsidRPr="00D8232B">
        <w:rPr>
          <w:i/>
        </w:rPr>
        <w:t>The Gospel and Letters of John</w:t>
      </w:r>
      <w:r w:rsidR="001B0F54">
        <w:t xml:space="preserve">. </w:t>
      </w:r>
      <w:r w:rsidRPr="00D8232B">
        <w:t>Nashvi</w:t>
      </w:r>
      <w:r w:rsidR="001B0F54">
        <w:t>lle, TN: Abingdon</w:t>
      </w:r>
      <w:r w:rsidR="001B0F54">
        <w:tab/>
        <w:t>Press</w:t>
      </w:r>
      <w:r>
        <w:t>.</w:t>
      </w:r>
    </w:p>
    <w:p w14:paraId="04CDECE6" w14:textId="77777777" w:rsidR="00F665FE" w:rsidRDefault="00F665FE" w:rsidP="00F665FE">
      <w:pPr>
        <w:pStyle w:val="FootnoteText"/>
      </w:pPr>
    </w:p>
    <w:p w14:paraId="5DAB92FE" w14:textId="0C846497" w:rsidR="00F665FE" w:rsidRDefault="00F665FE" w:rsidP="00F665FE">
      <w:pPr>
        <w:pStyle w:val="FootnoteText"/>
      </w:pPr>
      <w:proofErr w:type="spellStart"/>
      <w:r>
        <w:t>D’Costa</w:t>
      </w:r>
      <w:proofErr w:type="spellEnd"/>
      <w:r>
        <w:t>, Gavin.</w:t>
      </w:r>
      <w:r w:rsidR="001B0F54">
        <w:t xml:space="preserve"> 2009.</w:t>
      </w:r>
      <w:r>
        <w:t xml:space="preserve"> </w:t>
      </w:r>
      <w:r>
        <w:rPr>
          <w:i/>
        </w:rPr>
        <w:t>Christianity and World Religions: Dis</w:t>
      </w:r>
      <w:r w:rsidR="001B0F54">
        <w:rPr>
          <w:i/>
        </w:rPr>
        <w:t>puted Questions in the</w:t>
      </w:r>
      <w:r w:rsidR="001B0F54">
        <w:rPr>
          <w:i/>
        </w:rPr>
        <w:tab/>
        <w:t xml:space="preserve">Theology </w:t>
      </w:r>
      <w:r>
        <w:rPr>
          <w:i/>
        </w:rPr>
        <w:t>of Religions</w:t>
      </w:r>
      <w:r w:rsidR="001B0F54">
        <w:t>. Oxford: Wiley-Blackwell</w:t>
      </w:r>
      <w:r>
        <w:t xml:space="preserve">. </w:t>
      </w:r>
    </w:p>
    <w:p w14:paraId="2508675D" w14:textId="77777777" w:rsidR="00F013EE" w:rsidRDefault="00F013EE" w:rsidP="00F013EE"/>
    <w:p w14:paraId="41CE745A" w14:textId="0A7DD273" w:rsidR="00F665FE" w:rsidRDefault="00F665FE" w:rsidP="00F665FE">
      <w:proofErr w:type="spellStart"/>
      <w:r>
        <w:t>Dalferth</w:t>
      </w:r>
      <w:proofErr w:type="spellEnd"/>
      <w:r>
        <w:t xml:space="preserve">, </w:t>
      </w:r>
      <w:proofErr w:type="spellStart"/>
      <w:r>
        <w:t>Ingolf</w:t>
      </w:r>
      <w:proofErr w:type="spellEnd"/>
      <w:r>
        <w:t>.</w:t>
      </w:r>
      <w:r w:rsidR="001B0F54">
        <w:t xml:space="preserve"> 2006. </w:t>
      </w:r>
      <w:r>
        <w:rPr>
          <w:i/>
        </w:rPr>
        <w:t xml:space="preserve">Becoming Present: An Inquiry into the </w:t>
      </w:r>
      <w:r w:rsidR="001B0F54">
        <w:rPr>
          <w:i/>
        </w:rPr>
        <w:t>Christian Sense of the</w:t>
      </w:r>
      <w:r w:rsidR="001B0F54">
        <w:rPr>
          <w:i/>
        </w:rPr>
        <w:tab/>
        <w:t xml:space="preserve">Presence </w:t>
      </w:r>
      <w:r>
        <w:rPr>
          <w:i/>
        </w:rPr>
        <w:t>of God</w:t>
      </w:r>
      <w:r w:rsidR="001B0F54">
        <w:t xml:space="preserve">. Leuven: </w:t>
      </w:r>
      <w:proofErr w:type="spellStart"/>
      <w:r w:rsidR="001B0F54">
        <w:t>Peeters</w:t>
      </w:r>
      <w:proofErr w:type="spellEnd"/>
      <w:r>
        <w:t>.</w:t>
      </w:r>
    </w:p>
    <w:p w14:paraId="79DD1C95" w14:textId="77777777" w:rsidR="00F665FE" w:rsidRDefault="00F665FE" w:rsidP="00F665FE">
      <w:pPr>
        <w:pStyle w:val="FootnoteText"/>
      </w:pPr>
    </w:p>
    <w:p w14:paraId="7EEE1423" w14:textId="655F60A1" w:rsidR="00F665FE" w:rsidRPr="00D432DF" w:rsidRDefault="00F665FE" w:rsidP="00F665FE">
      <w:pPr>
        <w:pStyle w:val="FootnoteText"/>
      </w:pPr>
      <w:r>
        <w:t>Fredericks, James.</w:t>
      </w:r>
      <w:r w:rsidR="001B0F54">
        <w:t xml:space="preserve"> 1999.</w:t>
      </w:r>
      <w:r>
        <w:t xml:space="preserve"> </w:t>
      </w:r>
      <w:r>
        <w:rPr>
          <w:i/>
        </w:rPr>
        <w:t>Faith among Faiths: Chris</w:t>
      </w:r>
      <w:r w:rsidR="00EC48FB">
        <w:rPr>
          <w:i/>
        </w:rPr>
        <w:t>tian Theology and Non-Christian</w:t>
      </w:r>
      <w:r w:rsidR="00EC48FB">
        <w:rPr>
          <w:i/>
        </w:rPr>
        <w:tab/>
      </w:r>
      <w:r>
        <w:rPr>
          <w:i/>
        </w:rPr>
        <w:t>Religions</w:t>
      </w:r>
      <w:r>
        <w:t xml:space="preserve">. </w:t>
      </w:r>
      <w:r w:rsidR="001B0F54">
        <w:t xml:space="preserve">Mahwah, NJ: </w:t>
      </w:r>
      <w:proofErr w:type="spellStart"/>
      <w:r w:rsidR="001B0F54">
        <w:t>Paulist</w:t>
      </w:r>
      <w:proofErr w:type="spellEnd"/>
      <w:r w:rsidR="001B0F54">
        <w:t xml:space="preserve"> Press</w:t>
      </w:r>
      <w:r>
        <w:t>.</w:t>
      </w:r>
    </w:p>
    <w:p w14:paraId="3ABCFACB" w14:textId="77777777" w:rsidR="00F665FE" w:rsidRDefault="00F665FE" w:rsidP="00F665FE">
      <w:pPr>
        <w:pStyle w:val="FootnoteText"/>
      </w:pPr>
    </w:p>
    <w:p w14:paraId="37DDE044" w14:textId="2DAD6B03" w:rsidR="00F665FE" w:rsidRPr="0005729E" w:rsidRDefault="00F665FE" w:rsidP="00F665FE">
      <w:pPr>
        <w:pStyle w:val="FootnoteText"/>
      </w:pPr>
      <w:r>
        <w:t xml:space="preserve">Henry, Michel. </w:t>
      </w:r>
      <w:r w:rsidR="001B0F54">
        <w:t>2003.</w:t>
      </w:r>
      <w:r>
        <w:t xml:space="preserve"> </w:t>
      </w:r>
      <w:r>
        <w:rPr>
          <w:i/>
        </w:rPr>
        <w:t>I am the Truth</w:t>
      </w:r>
      <w:r w:rsidR="001B0F54">
        <w:t xml:space="preserve">. </w:t>
      </w:r>
      <w:r>
        <w:t>Translated by Susan E</w:t>
      </w:r>
      <w:r w:rsidR="001B0F54">
        <w:t>manuel. Stanford, CA:</w:t>
      </w:r>
      <w:r w:rsidR="001B0F54">
        <w:tab/>
        <w:t xml:space="preserve">Stanford </w:t>
      </w:r>
      <w:r>
        <w:t>University Press, 2003.</w:t>
      </w:r>
    </w:p>
    <w:p w14:paraId="7F0D2F56" w14:textId="77777777" w:rsidR="00F665FE" w:rsidRDefault="00F665FE" w:rsidP="00F665FE">
      <w:pPr>
        <w:pStyle w:val="FootnoteText"/>
      </w:pPr>
    </w:p>
    <w:p w14:paraId="525ECE91" w14:textId="22FF14ED" w:rsidR="00F665FE" w:rsidRDefault="001B0F54" w:rsidP="00F665FE">
      <w:pPr>
        <w:pStyle w:val="FootnoteText"/>
      </w:pPr>
      <w:proofErr w:type="gramStart"/>
      <w:r>
        <w:t>Hick, John.</w:t>
      </w:r>
      <w:proofErr w:type="gramEnd"/>
      <w:r>
        <w:t xml:space="preserve"> 1982. </w:t>
      </w:r>
      <w:r w:rsidR="00F665FE">
        <w:rPr>
          <w:i/>
        </w:rPr>
        <w:t>God Has Many Names</w:t>
      </w:r>
      <w:r>
        <w:t>.</w:t>
      </w:r>
      <w:r w:rsidR="00F665FE">
        <w:t xml:space="preserve"> Phila</w:t>
      </w:r>
      <w:r>
        <w:t>delphia: Westminster Press</w:t>
      </w:r>
      <w:r w:rsidR="00F665FE">
        <w:t>.</w:t>
      </w:r>
    </w:p>
    <w:p w14:paraId="73DAEAE2" w14:textId="77777777" w:rsidR="00F665FE" w:rsidRDefault="00F665FE" w:rsidP="00F665FE">
      <w:pPr>
        <w:pStyle w:val="FootnoteText"/>
      </w:pPr>
    </w:p>
    <w:p w14:paraId="0BFD8293" w14:textId="51AAABFD" w:rsidR="00F665FE" w:rsidRDefault="00F665FE" w:rsidP="00F665FE">
      <w:r>
        <w:lastRenderedPageBreak/>
        <w:t>Larsen, Kasper Bro.</w:t>
      </w:r>
      <w:r w:rsidR="001B0F54">
        <w:t xml:space="preserve"> 2008.</w:t>
      </w:r>
      <w:r>
        <w:t xml:space="preserve"> </w:t>
      </w:r>
      <w:r>
        <w:rPr>
          <w:i/>
        </w:rPr>
        <w:t>Recognizing the Stranger: Reco</w:t>
      </w:r>
      <w:r w:rsidR="001B0F54">
        <w:rPr>
          <w:i/>
        </w:rPr>
        <w:t>gnition Scenes in the Gospel</w:t>
      </w:r>
      <w:r w:rsidR="001B0F54">
        <w:rPr>
          <w:i/>
        </w:rPr>
        <w:tab/>
        <w:t xml:space="preserve">of </w:t>
      </w:r>
      <w:r>
        <w:rPr>
          <w:i/>
        </w:rPr>
        <w:t>John</w:t>
      </w:r>
      <w:r>
        <w:t>.</w:t>
      </w:r>
      <w:r w:rsidR="001B0F54">
        <w:t xml:space="preserve">  Leiden and Boston: Brill</w:t>
      </w:r>
      <w:r>
        <w:t>.</w:t>
      </w:r>
    </w:p>
    <w:p w14:paraId="54B3ACEA" w14:textId="77777777" w:rsidR="00F665FE" w:rsidRDefault="00F665FE" w:rsidP="00F665FE">
      <w:pPr>
        <w:pStyle w:val="FootnoteText"/>
      </w:pPr>
    </w:p>
    <w:p w14:paraId="607A02D5" w14:textId="77CCD786" w:rsidR="00F665FE" w:rsidRDefault="00F665FE" w:rsidP="00F665FE">
      <w:pPr>
        <w:pStyle w:val="FootnoteText"/>
      </w:pPr>
      <w:proofErr w:type="spellStart"/>
      <w:r>
        <w:t>Lindbeck</w:t>
      </w:r>
      <w:proofErr w:type="spellEnd"/>
      <w:r>
        <w:t>, George.</w:t>
      </w:r>
      <w:r w:rsidR="001B0F54">
        <w:t xml:space="preserve"> 1984.</w:t>
      </w:r>
      <w:r>
        <w:t xml:space="preserve"> </w:t>
      </w:r>
      <w:r>
        <w:rPr>
          <w:i/>
        </w:rPr>
        <w:t>The Nature of Doctrine: Religion and Theology in a Post-liberal</w:t>
      </w:r>
      <w:r w:rsidR="00EC48FB">
        <w:rPr>
          <w:i/>
        </w:rPr>
        <w:tab/>
      </w:r>
      <w:r>
        <w:rPr>
          <w:i/>
        </w:rPr>
        <w:t>Age</w:t>
      </w:r>
      <w:r>
        <w:t>.  Louisville,</w:t>
      </w:r>
      <w:r w:rsidR="001B0F54">
        <w:t xml:space="preserve"> KY: Westminster John Knox</w:t>
      </w:r>
      <w:r>
        <w:t>.</w:t>
      </w:r>
    </w:p>
    <w:p w14:paraId="0C6E25EA" w14:textId="77777777" w:rsidR="00F013EE" w:rsidRDefault="00F013EE" w:rsidP="00F013EE">
      <w:pPr>
        <w:pStyle w:val="FootnoteText"/>
      </w:pPr>
    </w:p>
    <w:p w14:paraId="78B14331" w14:textId="7D25ACF0" w:rsidR="00F013EE" w:rsidRDefault="00F013EE" w:rsidP="00F013EE">
      <w:pPr>
        <w:pStyle w:val="FootnoteText"/>
      </w:pPr>
      <w:proofErr w:type="spellStart"/>
      <w:r>
        <w:t>Moyaert</w:t>
      </w:r>
      <w:proofErr w:type="spellEnd"/>
      <w:r>
        <w:t>, Marianne.</w:t>
      </w:r>
      <w:r w:rsidR="001B0F54">
        <w:t xml:space="preserve"> 2012.</w:t>
      </w:r>
      <w:r>
        <w:t xml:space="preserve"> “Recent Developments in</w:t>
      </w:r>
      <w:r w:rsidR="00EC48FB">
        <w:t xml:space="preserve"> the Theology of Interreligious</w:t>
      </w:r>
      <w:r w:rsidR="00EC48FB">
        <w:tab/>
      </w:r>
      <w:r>
        <w:t>Dialogue: From Soteriological Openn</w:t>
      </w:r>
      <w:r w:rsidR="00EC48FB">
        <w:t>ess to Hermeneutical Openness,”</w:t>
      </w:r>
      <w:r w:rsidR="00EC48FB">
        <w:tab/>
      </w:r>
      <w:r>
        <w:rPr>
          <w:i/>
        </w:rPr>
        <w:t>Modern Theology</w:t>
      </w:r>
      <w:r w:rsidR="001B0F54">
        <w:t xml:space="preserve"> 28.1</w:t>
      </w:r>
      <w:r w:rsidR="00F665FE">
        <w:t>: 25-52.</w:t>
      </w:r>
    </w:p>
    <w:p w14:paraId="64305BFF" w14:textId="77777777" w:rsidR="00F013EE" w:rsidRDefault="00F013EE" w:rsidP="00F013EE">
      <w:pPr>
        <w:pStyle w:val="FootnoteText"/>
      </w:pPr>
    </w:p>
    <w:p w14:paraId="29B3A69E" w14:textId="247F2339" w:rsidR="00F665FE" w:rsidRDefault="00F665FE" w:rsidP="00F665FE">
      <w:proofErr w:type="gramStart"/>
      <w:r>
        <w:t>Race, Alan.</w:t>
      </w:r>
      <w:proofErr w:type="gramEnd"/>
      <w:r w:rsidR="001B0F54">
        <w:t xml:space="preserve"> 1983.</w:t>
      </w:r>
      <w:r>
        <w:t xml:space="preserve"> </w:t>
      </w:r>
      <w:r>
        <w:rPr>
          <w:i/>
        </w:rPr>
        <w:t>Christians and Religious Pluralism: Patter</w:t>
      </w:r>
      <w:r w:rsidR="001B0F54">
        <w:rPr>
          <w:i/>
        </w:rPr>
        <w:t>ns in the Christian</w:t>
      </w:r>
      <w:r w:rsidR="001B0F54">
        <w:rPr>
          <w:i/>
        </w:rPr>
        <w:tab/>
        <w:t xml:space="preserve">Theology of </w:t>
      </w:r>
      <w:r>
        <w:rPr>
          <w:i/>
        </w:rPr>
        <w:t>R</w:t>
      </w:r>
      <w:r w:rsidRPr="001A718C">
        <w:rPr>
          <w:i/>
        </w:rPr>
        <w:t>eligions</w:t>
      </w:r>
      <w:r w:rsidR="001B0F54">
        <w:t xml:space="preserve">. </w:t>
      </w:r>
      <w:proofErr w:type="spellStart"/>
      <w:r w:rsidR="001B0F54">
        <w:t>Maryknoll</w:t>
      </w:r>
      <w:proofErr w:type="spellEnd"/>
      <w:r w:rsidR="001B0F54">
        <w:t xml:space="preserve">, NY: </w:t>
      </w:r>
      <w:proofErr w:type="spellStart"/>
      <w:r w:rsidR="001B0F54">
        <w:t>Orbis</w:t>
      </w:r>
      <w:proofErr w:type="spellEnd"/>
      <w:r w:rsidR="001B0F54">
        <w:t xml:space="preserve"> Books</w:t>
      </w:r>
      <w:r>
        <w:t>.</w:t>
      </w:r>
    </w:p>
    <w:p w14:paraId="7A95B469" w14:textId="77777777" w:rsidR="00F013EE" w:rsidRDefault="00F013EE" w:rsidP="00F013EE"/>
    <w:p w14:paraId="5C370C90" w14:textId="228E8AFB" w:rsidR="00F013EE" w:rsidRDefault="00F013EE" w:rsidP="00F013EE">
      <w:proofErr w:type="spellStart"/>
      <w:r>
        <w:t>Rahner</w:t>
      </w:r>
      <w:proofErr w:type="spellEnd"/>
      <w:r>
        <w:t>, Karl.</w:t>
      </w:r>
      <w:r w:rsidR="001B0F54">
        <w:t xml:space="preserve"> 1986.</w:t>
      </w:r>
      <w:r>
        <w:t xml:space="preserve"> </w:t>
      </w:r>
      <w:r>
        <w:rPr>
          <w:i/>
        </w:rPr>
        <w:t xml:space="preserve">Karl </w:t>
      </w:r>
      <w:proofErr w:type="spellStart"/>
      <w:r>
        <w:rPr>
          <w:i/>
        </w:rPr>
        <w:t>Rahner</w:t>
      </w:r>
      <w:proofErr w:type="spellEnd"/>
      <w:r>
        <w:rPr>
          <w:i/>
        </w:rPr>
        <w:t xml:space="preserve"> in Dialogue: Co</w:t>
      </w:r>
      <w:r w:rsidR="001B0F54">
        <w:rPr>
          <w:i/>
        </w:rPr>
        <w:t>nversations and Interviews 1965</w:t>
      </w:r>
      <w:r w:rsidR="001B0F54">
        <w:rPr>
          <w:i/>
        </w:rPr>
        <w:tab/>
      </w:r>
      <w:r>
        <w:rPr>
          <w:i/>
        </w:rPr>
        <w:t>1982</w:t>
      </w:r>
      <w:r w:rsidR="001B0F54">
        <w:t xml:space="preserve">, </w:t>
      </w:r>
      <w:r>
        <w:t xml:space="preserve">Band 2.  Edited by Paul </w:t>
      </w:r>
      <w:proofErr w:type="spellStart"/>
      <w:r>
        <w:t>Imhoff</w:t>
      </w:r>
      <w:proofErr w:type="spellEnd"/>
      <w:r>
        <w:t xml:space="preserve"> an</w:t>
      </w:r>
      <w:r w:rsidR="001B0F54">
        <w:t xml:space="preserve">d Hubert </w:t>
      </w:r>
      <w:proofErr w:type="spellStart"/>
      <w:r w:rsidR="001B0F54">
        <w:t>Baillowons</w:t>
      </w:r>
      <w:proofErr w:type="spellEnd"/>
      <w:r w:rsidR="001B0F54">
        <w:t>. New York:</w:t>
      </w:r>
      <w:r w:rsidR="001B0F54">
        <w:tab/>
      </w:r>
      <w:r>
        <w:t>C</w:t>
      </w:r>
      <w:r w:rsidR="001B0F54">
        <w:t>rossroad</w:t>
      </w:r>
      <w:r>
        <w:t>.</w:t>
      </w:r>
    </w:p>
    <w:p w14:paraId="0583006D" w14:textId="77777777" w:rsidR="00F013EE" w:rsidRDefault="00F013EE" w:rsidP="00F013EE"/>
    <w:p w14:paraId="4C90F08C" w14:textId="3A937B4A" w:rsidR="00F665FE" w:rsidRDefault="00F665FE" w:rsidP="00F665FE">
      <w:proofErr w:type="spellStart"/>
      <w:r>
        <w:t>Siddiqui</w:t>
      </w:r>
      <w:proofErr w:type="spellEnd"/>
      <w:r>
        <w:t xml:space="preserve">, Mona. </w:t>
      </w:r>
      <w:r w:rsidR="001B0F54">
        <w:t>2013.</w:t>
      </w:r>
      <w:r>
        <w:t xml:space="preserve"> </w:t>
      </w:r>
      <w:r w:rsidR="001B0F54">
        <w:rPr>
          <w:i/>
        </w:rPr>
        <w:t>Christians, Muslims, and Jesus.</w:t>
      </w:r>
      <w:r>
        <w:rPr>
          <w:i/>
        </w:rPr>
        <w:t xml:space="preserve"> </w:t>
      </w:r>
      <w:r w:rsidR="001B0F54">
        <w:t>New Haven: Yale</w:t>
      </w:r>
      <w:r>
        <w:t>.</w:t>
      </w:r>
    </w:p>
    <w:p w14:paraId="1A4E654D" w14:textId="77777777" w:rsidR="00F665FE" w:rsidRDefault="00F665FE" w:rsidP="00F013EE"/>
    <w:p w14:paraId="0DB40D33" w14:textId="64AE0EA2" w:rsidR="00F013EE" w:rsidRDefault="00406511" w:rsidP="00F013EE">
      <w:r>
        <w:t>Wells, Adam.</w:t>
      </w:r>
      <w:r w:rsidR="001B0F54">
        <w:t xml:space="preserve"> 2016.</w:t>
      </w:r>
      <w:r>
        <w:t xml:space="preserve"> </w:t>
      </w:r>
      <w:r w:rsidR="00F013EE">
        <w:t xml:space="preserve">“The Semiotic </w:t>
      </w:r>
      <w:proofErr w:type="spellStart"/>
      <w:r w:rsidR="00F013EE">
        <w:t>Lifeworld</w:t>
      </w:r>
      <w:proofErr w:type="spellEnd"/>
      <w:r w:rsidR="00F013EE">
        <w:t xml:space="preserve"> of Jo</w:t>
      </w:r>
      <w:r w:rsidR="00EC48FB">
        <w:t>hn’s Gospel: A Phenomenological</w:t>
      </w:r>
      <w:r w:rsidR="00EC48FB">
        <w:tab/>
      </w:r>
      <w:r w:rsidR="00F013EE">
        <w:t xml:space="preserve">Reading,” </w:t>
      </w:r>
      <w:r w:rsidR="00F013EE">
        <w:rPr>
          <w:i/>
        </w:rPr>
        <w:t xml:space="preserve">Louvain Studies </w:t>
      </w:r>
      <w:r w:rsidR="001B0F54">
        <w:t>39</w:t>
      </w:r>
      <w:r w:rsidR="00F013EE">
        <w:t>: 377-391.</w:t>
      </w:r>
    </w:p>
    <w:p w14:paraId="14CA22F1" w14:textId="77777777" w:rsidR="00F013EE" w:rsidRDefault="00F013EE" w:rsidP="00F013EE">
      <w:pPr>
        <w:rPr>
          <w:rFonts w:eastAsia="Times New Roman" w:cs="Times New Roman"/>
        </w:rPr>
      </w:pPr>
    </w:p>
    <w:p w14:paraId="586D8199" w14:textId="1C0749C8" w:rsidR="00F665FE" w:rsidRDefault="001B0F54" w:rsidP="00F665FE">
      <w:r>
        <w:t>Wolfe, Michael. 2016.</w:t>
      </w:r>
      <w:r w:rsidR="00F665FE">
        <w:t xml:space="preserve"> </w:t>
      </w:r>
      <w:r w:rsidR="00F665FE" w:rsidRPr="001B573E">
        <w:rPr>
          <w:i/>
        </w:rPr>
        <w:t>The Wor</w:t>
      </w:r>
      <w:r w:rsidR="00F665FE">
        <w:rPr>
          <w:i/>
        </w:rPr>
        <w:t xml:space="preserve">ld Could Not Contain the Pages: </w:t>
      </w:r>
      <w:r>
        <w:rPr>
          <w:i/>
        </w:rPr>
        <w:t>A Sufi Reading of the</w:t>
      </w:r>
      <w:r>
        <w:rPr>
          <w:i/>
        </w:rPr>
        <w:tab/>
        <w:t xml:space="preserve">Gospel of </w:t>
      </w:r>
      <w:r w:rsidR="00F665FE" w:rsidRPr="001B573E">
        <w:rPr>
          <w:i/>
        </w:rPr>
        <w:t>John</w:t>
      </w:r>
      <w:r w:rsidR="00F665FE">
        <w:rPr>
          <w:i/>
        </w:rPr>
        <w:t xml:space="preserve"> b</w:t>
      </w:r>
      <w:r w:rsidR="00F665FE" w:rsidRPr="001B573E">
        <w:rPr>
          <w:i/>
        </w:rPr>
        <w:t xml:space="preserve">ased on the Writings of </w:t>
      </w:r>
      <w:proofErr w:type="spellStart"/>
      <w:r w:rsidR="00F665FE" w:rsidRPr="001B573E">
        <w:rPr>
          <w:i/>
        </w:rPr>
        <w:t>Muḥyī</w:t>
      </w:r>
      <w:proofErr w:type="spellEnd"/>
      <w:r w:rsidR="00F665FE" w:rsidRPr="001B573E">
        <w:rPr>
          <w:i/>
        </w:rPr>
        <w:t xml:space="preserve"> al-</w:t>
      </w:r>
      <w:proofErr w:type="spellStart"/>
      <w:r w:rsidR="00F665FE" w:rsidRPr="001B573E">
        <w:rPr>
          <w:i/>
        </w:rPr>
        <w:t>Dīn</w:t>
      </w:r>
      <w:proofErr w:type="spellEnd"/>
      <w:r w:rsidR="00F665FE" w:rsidRPr="001B573E">
        <w:rPr>
          <w:i/>
        </w:rPr>
        <w:t xml:space="preserve"> </w:t>
      </w:r>
      <w:proofErr w:type="spellStart"/>
      <w:r w:rsidR="00F665FE" w:rsidRPr="001B573E">
        <w:rPr>
          <w:i/>
        </w:rPr>
        <w:t>Ibn</w:t>
      </w:r>
      <w:proofErr w:type="spellEnd"/>
      <w:r w:rsidR="00F665FE" w:rsidRPr="001B573E">
        <w:rPr>
          <w:i/>
        </w:rPr>
        <w:t xml:space="preserve"> al-</w:t>
      </w:r>
      <w:proofErr w:type="spellStart"/>
      <w:r w:rsidR="00F665FE" w:rsidRPr="001B573E">
        <w:rPr>
          <w:i/>
        </w:rPr>
        <w:t>ʿArabī</w:t>
      </w:r>
      <w:proofErr w:type="spellEnd"/>
      <w:r w:rsidR="00F665FE">
        <w:rPr>
          <w:i/>
        </w:rPr>
        <w:t>.</w:t>
      </w:r>
      <w:r>
        <w:rPr>
          <w:i/>
        </w:rPr>
        <w:tab/>
      </w:r>
      <w:proofErr w:type="gramStart"/>
      <w:r>
        <w:t xml:space="preserve">Dissertation, </w:t>
      </w:r>
      <w:r w:rsidR="00F665FE">
        <w:t>Columbia Univer</w:t>
      </w:r>
      <w:r>
        <w:t>sity</w:t>
      </w:r>
      <w:r w:rsidR="00F665FE">
        <w:t>.</w:t>
      </w:r>
      <w:proofErr w:type="gramEnd"/>
    </w:p>
    <w:p w14:paraId="2A2B411B" w14:textId="77777777" w:rsidR="00F665FE" w:rsidRDefault="00F665FE" w:rsidP="00F013EE"/>
    <w:p w14:paraId="29AB221D" w14:textId="799466D9" w:rsidR="00F013EE" w:rsidRDefault="00F013EE" w:rsidP="00F013EE">
      <w:r>
        <w:t>Zev Harvey,</w:t>
      </w:r>
      <w:r w:rsidR="00406511">
        <w:t xml:space="preserve"> Warren.</w:t>
      </w:r>
      <w:r>
        <w:t xml:space="preserve"> </w:t>
      </w:r>
      <w:r w:rsidR="001B0F54">
        <w:t>1998.</w:t>
      </w:r>
      <w:r w:rsidR="00406511">
        <w:t xml:space="preserve"> </w:t>
      </w:r>
      <w:r>
        <w:rPr>
          <w:i/>
        </w:rPr>
        <w:t xml:space="preserve">Physics and Metaphysics in </w:t>
      </w:r>
      <w:proofErr w:type="spellStart"/>
      <w:r>
        <w:rPr>
          <w:i/>
        </w:rPr>
        <w:t>Hasdai</w:t>
      </w:r>
      <w:proofErr w:type="spellEnd"/>
      <w:r>
        <w:rPr>
          <w:i/>
        </w:rPr>
        <w:t xml:space="preserve"> </w:t>
      </w:r>
      <w:proofErr w:type="spellStart"/>
      <w:r>
        <w:rPr>
          <w:i/>
        </w:rPr>
        <w:t>Crescas</w:t>
      </w:r>
      <w:proofErr w:type="spellEnd"/>
      <w:r w:rsidR="00406511">
        <w:t xml:space="preserve">.  </w:t>
      </w:r>
      <w:r>
        <w:t>Ams</w:t>
      </w:r>
      <w:r w:rsidR="001B0F54">
        <w:t>terdam:</w:t>
      </w:r>
      <w:r w:rsidR="001B0F54">
        <w:tab/>
        <w:t xml:space="preserve">J.C. </w:t>
      </w:r>
      <w:proofErr w:type="spellStart"/>
      <w:r w:rsidR="001B0F54">
        <w:t>Gieben</w:t>
      </w:r>
      <w:proofErr w:type="spellEnd"/>
      <w:r>
        <w:t>.</w:t>
      </w:r>
    </w:p>
    <w:p w14:paraId="25486C9B" w14:textId="77777777" w:rsidR="00F013EE" w:rsidRDefault="00F013EE" w:rsidP="00F013EE"/>
    <w:p w14:paraId="226E429C" w14:textId="77777777" w:rsidR="00F013EE" w:rsidRDefault="00F013EE" w:rsidP="00F013EE"/>
    <w:p w14:paraId="02A4D49F" w14:textId="77777777" w:rsidR="00F013EE" w:rsidRDefault="00F013EE" w:rsidP="00F013EE"/>
    <w:p w14:paraId="557B5C01" w14:textId="77777777" w:rsidR="00F013EE" w:rsidRDefault="00F013EE" w:rsidP="00F013EE"/>
    <w:p w14:paraId="315DDF02" w14:textId="77777777" w:rsidR="00F013EE" w:rsidRDefault="00F013EE" w:rsidP="00F013EE"/>
    <w:p w14:paraId="03E150BF" w14:textId="77777777" w:rsidR="00F013EE" w:rsidRDefault="00F013EE" w:rsidP="00F013EE"/>
    <w:p w14:paraId="41B3E897" w14:textId="40CB0469" w:rsidR="00FE3030" w:rsidRPr="001E5FA6" w:rsidRDefault="00FE3030" w:rsidP="00954503"/>
    <w:sectPr w:rsidR="00FE3030" w:rsidRPr="001E5FA6" w:rsidSect="00954503">
      <w:pgSz w:w="12240" w:h="15840"/>
      <w:pgMar w:top="1440" w:right="1800" w:bottom="1440" w:left="180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3550F3" w15:done="0"/>
  <w15:commentEx w15:paraId="1C6F3BE5" w15:done="0"/>
  <w15:commentEx w15:paraId="031E439B" w15:done="0"/>
  <w15:commentEx w15:paraId="3B190F53" w15:done="0"/>
  <w15:commentEx w15:paraId="48F5D09B" w15:done="0"/>
  <w15:commentEx w15:paraId="446E6638" w15:done="0"/>
  <w15:commentEx w15:paraId="7155B3A7" w15:done="0"/>
  <w15:commentEx w15:paraId="488C7833" w15:done="0"/>
  <w15:commentEx w15:paraId="0EA1682C" w15:done="0"/>
  <w15:commentEx w15:paraId="589DDA0B" w15:done="0"/>
  <w15:commentEx w15:paraId="5505A5CE" w15:done="0"/>
  <w15:commentEx w15:paraId="4C74FC39" w15:done="0"/>
  <w15:commentEx w15:paraId="612B2BB1" w15:done="0"/>
  <w15:commentEx w15:paraId="5FEBF303" w15:done="0"/>
  <w15:commentEx w15:paraId="6888F0E0" w15:done="0"/>
  <w15:commentEx w15:paraId="5D52B114" w15:done="0"/>
  <w15:commentEx w15:paraId="52E5C451" w15:done="0"/>
  <w15:commentEx w15:paraId="4D94AB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7212" w14:textId="77777777" w:rsidR="00387302" w:rsidRDefault="00387302" w:rsidP="00676092">
      <w:r>
        <w:separator/>
      </w:r>
    </w:p>
  </w:endnote>
  <w:endnote w:type="continuationSeparator" w:id="0">
    <w:p w14:paraId="4854FC37" w14:textId="77777777" w:rsidR="00387302" w:rsidRDefault="00387302" w:rsidP="0067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AF97" w14:textId="77777777" w:rsidR="00387302" w:rsidRDefault="00387302" w:rsidP="00954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2B6D3" w14:textId="77777777" w:rsidR="00387302" w:rsidRDefault="00387302">
    <w:pPr>
      <w:pStyle w:val="Footer"/>
      <w:ind w:right="360"/>
      <w:pPrChange w:id="0" w:author="Microsoft Office User" w:date="2017-01-25T14:1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6FDC" w14:textId="59E4F1FC" w:rsidR="00387302" w:rsidRDefault="00387302" w:rsidP="00954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C7B">
      <w:rPr>
        <w:rStyle w:val="PageNumber"/>
        <w:noProof/>
      </w:rPr>
      <w:t>2</w:t>
    </w:r>
    <w:r>
      <w:rPr>
        <w:rStyle w:val="PageNumber"/>
      </w:rPr>
      <w:fldChar w:fldCharType="end"/>
    </w:r>
  </w:p>
  <w:p w14:paraId="6DD84D40" w14:textId="77777777" w:rsidR="00387302" w:rsidRDefault="00387302" w:rsidP="00FD2A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393E2" w14:textId="77777777" w:rsidR="00387302" w:rsidRDefault="00387302" w:rsidP="00676092">
      <w:r>
        <w:separator/>
      </w:r>
    </w:p>
  </w:footnote>
  <w:footnote w:type="continuationSeparator" w:id="0">
    <w:p w14:paraId="6E194732" w14:textId="77777777" w:rsidR="00387302" w:rsidRDefault="00387302" w:rsidP="00676092">
      <w:r>
        <w:continuationSeparator/>
      </w:r>
    </w:p>
  </w:footnote>
  <w:footnote w:id="1">
    <w:p w14:paraId="57D96CFB" w14:textId="44008E3D" w:rsidR="00387302" w:rsidRPr="0005729E" w:rsidRDefault="00387302">
      <w:pPr>
        <w:pStyle w:val="FootnoteText"/>
      </w:pPr>
      <w:r>
        <w:rPr>
          <w:rStyle w:val="FootnoteReference"/>
        </w:rPr>
        <w:footnoteRef/>
      </w:r>
      <w:r>
        <w:t xml:space="preserve"> The threefold typology of exclusivism, inclusivism, and pluralism is widely used; it originated in Alan Race’s </w:t>
      </w:r>
      <w:r>
        <w:rPr>
          <w:i/>
        </w:rPr>
        <w:t>Christians and Religious Pluralism: Patterns in the Christian Theology of R</w:t>
      </w:r>
      <w:r w:rsidRPr="001A718C">
        <w:rPr>
          <w:i/>
        </w:rPr>
        <w:t>eligions</w:t>
      </w:r>
      <w:r>
        <w:t xml:space="preserve"> (1983).  While many see it as a </w:t>
      </w:r>
      <w:r>
        <w:rPr>
          <w:i/>
        </w:rPr>
        <w:t xml:space="preserve">soteriological </w:t>
      </w:r>
      <w:r>
        <w:t xml:space="preserve">typology, it also functions as an </w:t>
      </w:r>
      <w:r w:rsidRPr="0005729E">
        <w:rPr>
          <w:i/>
        </w:rPr>
        <w:t>epistemological</w:t>
      </w:r>
      <w:r>
        <w:t xml:space="preserve"> typology inasmuch as </w:t>
      </w:r>
      <w:r>
        <w:rPr>
          <w:i/>
        </w:rPr>
        <w:t xml:space="preserve">knowing </w:t>
      </w:r>
      <w:r>
        <w:t>the truth (in some way) is essential for salvation.  My purpose in treating this as an epistemological typology is to move beyond questions about soteriology that have dominated as discussion in the “theology of religions” for much of the 20</w:t>
      </w:r>
      <w:r w:rsidRPr="00797CF5">
        <w:rPr>
          <w:vertAlign w:val="superscript"/>
        </w:rPr>
        <w:t>th</w:t>
      </w:r>
      <w:r>
        <w:t xml:space="preserve"> century.  For a critical appraisal of the threefold typology, see </w:t>
      </w:r>
      <w:proofErr w:type="spellStart"/>
      <w:r>
        <w:t>D’Costa</w:t>
      </w:r>
      <w:proofErr w:type="spellEnd"/>
      <w:r>
        <w:t xml:space="preserve"> 2009: 3-37. </w:t>
      </w:r>
    </w:p>
  </w:footnote>
  <w:footnote w:id="2">
    <w:p w14:paraId="6CF098AF" w14:textId="6C3472AA" w:rsidR="00387302" w:rsidRDefault="00387302">
      <w:pPr>
        <w:pStyle w:val="FootnoteText"/>
      </w:pPr>
      <w:r>
        <w:rPr>
          <w:rStyle w:val="FootnoteReference"/>
        </w:rPr>
        <w:footnoteRef/>
      </w:r>
      <w:r>
        <w:t xml:space="preserve"> Exclusivism is essentially binary.</w:t>
      </w:r>
      <w:r w:rsidR="00C4662D">
        <w:t xml:space="preserve"> </w:t>
      </w:r>
      <w:r>
        <w:t xml:space="preserve"> As Marianne </w:t>
      </w:r>
      <w:proofErr w:type="spellStart"/>
      <w:r>
        <w:t>Moyaert</w:t>
      </w:r>
      <w:proofErr w:type="spellEnd"/>
      <w:r>
        <w:t xml:space="preserve"> puts it, “The antithetical structure of exclusivism is sometimes—although this is certainly not necessarily always the case—reflected in a binary grammar of </w:t>
      </w:r>
      <w:proofErr w:type="spellStart"/>
      <w:r>
        <w:t>selfing</w:t>
      </w:r>
      <w:proofErr w:type="spellEnd"/>
      <w:r>
        <w:t xml:space="preserve"> and </w:t>
      </w:r>
      <w:proofErr w:type="spellStart"/>
      <w:r>
        <w:t>othering</w:t>
      </w:r>
      <w:proofErr w:type="spellEnd"/>
      <w:r>
        <w:t>.  This grammar can be understood as a kind of primary anthropological reaction to the other: we are good/they are bad; we serve/they are selfish; we know the truth/they live a lie; we know God/they live turned away from God” (</w:t>
      </w:r>
      <w:proofErr w:type="spellStart"/>
      <w:r>
        <w:t>Moyaert</w:t>
      </w:r>
      <w:proofErr w:type="spellEnd"/>
      <w:r>
        <w:t xml:space="preserve"> 2012: 28f). </w:t>
      </w:r>
    </w:p>
  </w:footnote>
  <w:footnote w:id="3">
    <w:p w14:paraId="59F45200" w14:textId="4951ED8F" w:rsidR="00387302" w:rsidRPr="002C676A" w:rsidRDefault="00387302">
      <w:pPr>
        <w:pStyle w:val="FootnoteText"/>
      </w:pPr>
      <w:r>
        <w:rPr>
          <w:rStyle w:val="FootnoteReference"/>
        </w:rPr>
        <w:footnoteRef/>
      </w:r>
      <w:r>
        <w:t xml:space="preserve"> George </w:t>
      </w:r>
      <w:proofErr w:type="spellStart"/>
      <w:r>
        <w:t>Lindbeck</w:t>
      </w:r>
      <w:proofErr w:type="spellEnd"/>
      <w:r>
        <w:t>, for instance, argues that religious doctrines are “non-propositional cultural-linguistic statements” (</w:t>
      </w:r>
      <w:proofErr w:type="spellStart"/>
      <w:r>
        <w:t>Lindbeck</w:t>
      </w:r>
      <w:proofErr w:type="spellEnd"/>
      <w:r>
        <w:t xml:space="preserve"> 1984: 63-72).  Michel Henry also argues for a non-propositional notion of truth (Henry 2003).  At the very least, </w:t>
      </w:r>
      <w:proofErr w:type="spellStart"/>
      <w:r>
        <w:t>Lindbeck</w:t>
      </w:r>
      <w:proofErr w:type="spellEnd"/>
      <w:r>
        <w:t xml:space="preserve"> and Henry demonstrate that we should not simply </w:t>
      </w:r>
      <w:r w:rsidRPr="00DE6FC3">
        <w:t>assume</w:t>
      </w:r>
      <w:r>
        <w:t xml:space="preserve"> that truth is a condition that applies only to propositions.</w:t>
      </w:r>
    </w:p>
  </w:footnote>
  <w:footnote w:id="4">
    <w:p w14:paraId="03C86DDA" w14:textId="13CEEF3F" w:rsidR="00387302" w:rsidRPr="00F279EA" w:rsidRDefault="00387302">
      <w:pPr>
        <w:pStyle w:val="FootnoteText"/>
      </w:pPr>
      <w:r>
        <w:rPr>
          <w:rStyle w:val="FootnoteReference"/>
        </w:rPr>
        <w:footnoteRef/>
      </w:r>
      <w:r>
        <w:t xml:space="preserve"> “</w:t>
      </w:r>
      <w:proofErr w:type="spellStart"/>
      <w:r w:rsidRPr="00BD6380">
        <w:t>Aletheia</w:t>
      </w:r>
      <w:proofErr w:type="spellEnd"/>
      <w:r>
        <w:t xml:space="preserve"> (</w:t>
      </w:r>
      <w:proofErr w:type="spellStart"/>
      <w:r w:rsidRPr="00BD6380">
        <w:t>ἀλήθει</w:t>
      </w:r>
      <w:proofErr w:type="spellEnd"/>
      <w:r w:rsidRPr="00BD6380">
        <w:t>α</w:t>
      </w:r>
      <w:r>
        <w:t>)”</w:t>
      </w:r>
      <w:r>
        <w:rPr>
          <w:i/>
        </w:rPr>
        <w:t xml:space="preserve"> </w:t>
      </w:r>
      <w:r>
        <w:t xml:space="preserve">is used 7 times in the three synoptic gospels and 25 times in the Gospel of John, and this is not including metaphors for “truth” like </w:t>
      </w:r>
      <w:proofErr w:type="spellStart"/>
      <w:r w:rsidRPr="00BD6380">
        <w:t>λόγος</w:t>
      </w:r>
      <w:proofErr w:type="spellEnd"/>
      <w:r>
        <w:rPr>
          <w:i/>
        </w:rPr>
        <w:t xml:space="preserve"> </w:t>
      </w:r>
      <w:r w:rsidRPr="00BD6380">
        <w:t>and</w:t>
      </w:r>
      <w:r>
        <w:rPr>
          <w:i/>
        </w:rPr>
        <w:t xml:space="preserve"> </w:t>
      </w:r>
      <w:proofErr w:type="spellStart"/>
      <w:r w:rsidRPr="00BD6380">
        <w:t>ὁδός</w:t>
      </w:r>
      <w:proofErr w:type="spellEnd"/>
      <w:r>
        <w:t>.</w:t>
      </w:r>
    </w:p>
  </w:footnote>
  <w:footnote w:id="5">
    <w:p w14:paraId="4AAA29DD" w14:textId="2ECC2E06" w:rsidR="00387302" w:rsidRPr="00A65DA0" w:rsidRDefault="00387302">
      <w:pPr>
        <w:pStyle w:val="FootnoteText"/>
      </w:pPr>
      <w:r>
        <w:rPr>
          <w:rStyle w:val="FootnoteReference"/>
        </w:rPr>
        <w:footnoteRef/>
      </w:r>
      <w:r>
        <w:t xml:space="preserve"> An earlier version of this analysis of “signs” and “recognition” appears in my essay, “The Semiotic </w:t>
      </w:r>
      <w:proofErr w:type="spellStart"/>
      <w:r>
        <w:t>Lifeworld</w:t>
      </w:r>
      <w:proofErr w:type="spellEnd"/>
      <w:r>
        <w:t xml:space="preserve"> of John’s Gospel: A Phenomenological Reading” (Wells 2016: 377-391). </w:t>
      </w:r>
    </w:p>
  </w:footnote>
  <w:footnote w:id="6">
    <w:p w14:paraId="37446DEB" w14:textId="1B191F1B" w:rsidR="00387302" w:rsidRPr="00070050" w:rsidRDefault="00387302" w:rsidP="00464F86">
      <w:pPr>
        <w:pStyle w:val="FootnoteText"/>
      </w:pPr>
      <w:r>
        <w:rPr>
          <w:rStyle w:val="FootnoteReference"/>
        </w:rPr>
        <w:footnoteRef/>
      </w:r>
      <w:r>
        <w:t xml:space="preserve"> Recognition scenes are common in ancient literature and drama.  On </w:t>
      </w:r>
      <w:proofErr w:type="spellStart"/>
      <w:r>
        <w:t>Johannine</w:t>
      </w:r>
      <w:proofErr w:type="spellEnd"/>
      <w:r>
        <w:t xml:space="preserve"> use of recognitions scenes, see </w:t>
      </w:r>
      <w:r w:rsidRPr="00D8232B">
        <w:t>Culpepper</w:t>
      </w:r>
      <w:r>
        <w:t xml:space="preserve"> 1998: 72-86 and Larsen 2008.  My reading of John is indebted to </w:t>
      </w:r>
      <w:proofErr w:type="gramStart"/>
      <w:r>
        <w:t>Culpepper’s</w:t>
      </w:r>
      <w:proofErr w:type="gramEnd"/>
      <w:r>
        <w:t xml:space="preserve"> and Larsen’s detailed analyses of recognition scenes.  Both scholars find rhetorical significance in </w:t>
      </w:r>
      <w:proofErr w:type="spellStart"/>
      <w:r>
        <w:t>Johannine</w:t>
      </w:r>
      <w:proofErr w:type="spellEnd"/>
      <w:r>
        <w:t xml:space="preserve"> deviations from typical forms of recognition.  My own interpretation focuses on the philosophical implications of those deviations. </w:t>
      </w:r>
    </w:p>
  </w:footnote>
  <w:footnote w:id="7">
    <w:p w14:paraId="353B8D1E" w14:textId="22911F98" w:rsidR="00387302" w:rsidRDefault="00387302" w:rsidP="00464F86">
      <w:pPr>
        <w:pStyle w:val="FootnoteText"/>
      </w:pPr>
      <w:r>
        <w:rPr>
          <w:rStyle w:val="FootnoteReference"/>
        </w:rPr>
        <w:footnoteRef/>
      </w:r>
      <w:r>
        <w:t xml:space="preserve"> Culpepper argues that Martha’s recognition scene serves to emphasize Jesus’ “I am” claim over the sign: “The issue of faith shifts from the sign to the claim… the claim is made first and the sign follows” (Culpepper 2008: 258).  The upshot of this “shift” is that future believers, who may not have witnessed signs, “are not disadvantaged because they still have the words of Jesus, which are more effective than signs in eliciting faith” (Culpepper 2008: 259).  I would argue that Culpepper’s reading places too much emphasis on propositional statements as a foundation for belief—a possibility that is effectively proscribed by the Gospel’s emphasis on the relational nature of faith.  After all, the sheep do not follow Jesus because they assent to his truth claims; rather, they follow because they know his voice.</w:t>
      </w:r>
    </w:p>
  </w:footnote>
  <w:footnote w:id="8">
    <w:p w14:paraId="78CB580E" w14:textId="007E5B8C" w:rsidR="00387302" w:rsidRDefault="00387302" w:rsidP="00464F86">
      <w:pPr>
        <w:pStyle w:val="FootnoteText"/>
      </w:pPr>
      <w:r>
        <w:rPr>
          <w:rStyle w:val="FootnoteReference"/>
        </w:rPr>
        <w:footnoteRef/>
      </w:r>
      <w:r>
        <w:t xml:space="preserve"> 21:13 is reminiscent of 6:11, where the Eucharistic connection is made clear by the use of the participle “</w:t>
      </w:r>
      <w:proofErr w:type="spellStart"/>
      <w:r w:rsidRPr="00E84AA2">
        <w:t>εὐχ</w:t>
      </w:r>
      <w:proofErr w:type="spellEnd"/>
      <w:r w:rsidRPr="00E84AA2">
        <w:t>α</w:t>
      </w:r>
      <w:proofErr w:type="spellStart"/>
      <w:r w:rsidRPr="00E84AA2">
        <w:t>ριστήσ</w:t>
      </w:r>
      <w:proofErr w:type="spellEnd"/>
      <w:r w:rsidRPr="00E84AA2">
        <w:t>ας</w:t>
      </w:r>
      <w:r>
        <w:t xml:space="preserve">.” </w:t>
      </w:r>
    </w:p>
  </w:footnote>
  <w:footnote w:id="9">
    <w:p w14:paraId="4A7771D3" w14:textId="00679566" w:rsidR="00387302" w:rsidRDefault="00387302" w:rsidP="00464F86">
      <w:pPr>
        <w:pStyle w:val="FootnoteText"/>
      </w:pPr>
      <w:r>
        <w:rPr>
          <w:rStyle w:val="FootnoteReference"/>
        </w:rPr>
        <w:footnoteRef/>
      </w:r>
      <w:r>
        <w:t xml:space="preserve"> On presence in the Eucharist, see </w:t>
      </w:r>
      <w:proofErr w:type="spellStart"/>
      <w:r>
        <w:t>Dalferth</w:t>
      </w:r>
      <w:proofErr w:type="spellEnd"/>
      <w:r>
        <w:t xml:space="preserve"> 2006: 85-93.</w:t>
      </w:r>
    </w:p>
  </w:footnote>
  <w:footnote w:id="10">
    <w:p w14:paraId="130C3A9F" w14:textId="624A4A4B" w:rsidR="00387302" w:rsidRDefault="00387302" w:rsidP="00804F2C">
      <w:pPr>
        <w:pStyle w:val="FootnoteText"/>
      </w:pPr>
      <w:r>
        <w:rPr>
          <w:rStyle w:val="FootnoteReference"/>
        </w:rPr>
        <w:footnoteRef/>
      </w:r>
      <w:r>
        <w:t xml:space="preserve"> </w:t>
      </w:r>
      <w:r w:rsidRPr="009D384E">
        <w:t>Traditionally, the term “hermeneutics” refers to textual interpretation.  (The Greek “</w:t>
      </w:r>
      <w:proofErr w:type="spellStart"/>
      <w:r w:rsidRPr="009D384E">
        <w:t>ἑρμηνεί</w:t>
      </w:r>
      <w:proofErr w:type="spellEnd"/>
      <w:r w:rsidRPr="009D384E">
        <w:t xml:space="preserve">α” means “interpretation.”) </w:t>
      </w:r>
      <w:r>
        <w:t xml:space="preserve"> </w:t>
      </w:r>
      <w:r w:rsidRPr="009D384E">
        <w:t xml:space="preserve">In the 20th century, Martin Heidegger, Hans-Georg </w:t>
      </w:r>
      <w:proofErr w:type="spellStart"/>
      <w:r w:rsidRPr="009D384E">
        <w:t>Gadamer</w:t>
      </w:r>
      <w:proofErr w:type="spellEnd"/>
      <w:r w:rsidRPr="009D384E">
        <w:t xml:space="preserve">, Paul </w:t>
      </w:r>
      <w:proofErr w:type="spellStart"/>
      <w:r w:rsidRPr="009D384E">
        <w:t>Ricoeur</w:t>
      </w:r>
      <w:proofErr w:type="spellEnd"/>
      <w:r w:rsidRPr="009D384E">
        <w:t xml:space="preserve">, and others expanded hermeneutics into a universal feature of epistemology and ontology.  </w:t>
      </w:r>
      <w:r>
        <w:t>“</w:t>
      </w:r>
      <w:r w:rsidRPr="009D384E">
        <w:t>Hermeneutics</w:t>
      </w:r>
      <w:r>
        <w:t xml:space="preserve">” is the interpretive strategy </w:t>
      </w:r>
      <w:r w:rsidRPr="009D384E">
        <w:t>through which we perceive and understand our own existence.  To speak of a “</w:t>
      </w:r>
      <w:proofErr w:type="spellStart"/>
      <w:r>
        <w:t>Johannine</w:t>
      </w:r>
      <w:proofErr w:type="spellEnd"/>
      <w:r>
        <w:t xml:space="preserve"> hermeneutic</w:t>
      </w:r>
      <w:r w:rsidRPr="009D384E">
        <w:t xml:space="preserve"> of </w:t>
      </w:r>
      <w:r>
        <w:t>encounter</w:t>
      </w:r>
      <w:r w:rsidRPr="009D384E">
        <w:t>,”</w:t>
      </w:r>
      <w:r>
        <w:t xml:space="preserve"> is to say that the encounter with Christ is the interpretive strategy</w:t>
      </w:r>
      <w:r w:rsidRPr="009D384E">
        <w:t xml:space="preserve"> through which </w:t>
      </w:r>
      <w:r>
        <w:t xml:space="preserve">the </w:t>
      </w:r>
      <w:proofErr w:type="spellStart"/>
      <w:r>
        <w:t>Johannine</w:t>
      </w:r>
      <w:proofErr w:type="spellEnd"/>
      <w:r>
        <w:t xml:space="preserve"> community</w:t>
      </w:r>
      <w:r w:rsidRPr="009D384E">
        <w:t xml:space="preserve"> </w:t>
      </w:r>
      <w:r>
        <w:t>perceives and understands itself and the surrounding world</w:t>
      </w:r>
      <w:r w:rsidRPr="009D384E">
        <w:t>.</w:t>
      </w:r>
    </w:p>
  </w:footnote>
  <w:footnote w:id="11">
    <w:p w14:paraId="40A5F1A4" w14:textId="2729A4E4" w:rsidR="00387302" w:rsidRPr="00C3498E" w:rsidRDefault="00387302">
      <w:pPr>
        <w:pStyle w:val="FootnoteText"/>
      </w:pPr>
      <w:r>
        <w:rPr>
          <w:rStyle w:val="FootnoteReference"/>
        </w:rPr>
        <w:footnoteRef/>
      </w:r>
      <w:r>
        <w:t xml:space="preserve"> For general background on the </w:t>
      </w:r>
      <w:proofErr w:type="spellStart"/>
      <w:r>
        <w:t>Johannine</w:t>
      </w:r>
      <w:proofErr w:type="spellEnd"/>
      <w:r>
        <w:t xml:space="preserve"> community, see Brown 1978.  For a more in-depth treatment of sectarian formation, see Clark-Soles 2003.</w:t>
      </w:r>
    </w:p>
  </w:footnote>
  <w:footnote w:id="12">
    <w:p w14:paraId="6F492DF0" w14:textId="5FEED800" w:rsidR="00387302" w:rsidRDefault="00387302">
      <w:pPr>
        <w:pStyle w:val="FootnoteText"/>
      </w:pPr>
      <w:r>
        <w:rPr>
          <w:rStyle w:val="FootnoteReference"/>
        </w:rPr>
        <w:footnoteRef/>
      </w:r>
      <w:r>
        <w:t xml:space="preserve"> This emphasis on love is thoroughly </w:t>
      </w:r>
      <w:proofErr w:type="spellStart"/>
      <w:r>
        <w:t>Johannine</w:t>
      </w:r>
      <w:proofErr w:type="spellEnd"/>
      <w:r>
        <w:t>: “</w:t>
      </w:r>
      <w:r w:rsidRPr="0090229D">
        <w:t>I give you a new commandment: Love each other. Just as I have loved you, so yo</w:t>
      </w:r>
      <w:r>
        <w:t xml:space="preserve">u also must love each other. </w:t>
      </w:r>
      <w:r w:rsidRPr="0090229D">
        <w:t>This is how everyone will know that you are my disc</w:t>
      </w:r>
      <w:r>
        <w:t>iples, when you love each other</w:t>
      </w:r>
      <w:r w:rsidRPr="0090229D">
        <w:t>”</w:t>
      </w:r>
      <w:r>
        <w:t xml:space="preserve"> (John 13:34-35.</w:t>
      </w:r>
    </w:p>
  </w:footnote>
  <w:footnote w:id="13">
    <w:p w14:paraId="03624F39" w14:textId="26F8676E" w:rsidR="00387302" w:rsidRDefault="00387302">
      <w:pPr>
        <w:pStyle w:val="FootnoteText"/>
      </w:pPr>
      <w:r>
        <w:rPr>
          <w:rStyle w:val="FootnoteReference"/>
        </w:rPr>
        <w:footnoteRef/>
      </w:r>
      <w:r>
        <w:t xml:space="preserve"> </w:t>
      </w:r>
      <w:proofErr w:type="spellStart"/>
      <w:r>
        <w:rPr>
          <w:i/>
        </w:rPr>
        <w:t>Injil</w:t>
      </w:r>
      <w:proofErr w:type="spellEnd"/>
      <w:r>
        <w:rPr>
          <w:i/>
        </w:rPr>
        <w:t xml:space="preserve"> </w:t>
      </w:r>
      <w:r>
        <w:t>is, for Muslims, the divinely authored “kernel” of Christian revelation.  See also 22:67-69 and 5:47.</w:t>
      </w:r>
    </w:p>
  </w:footnote>
  <w:footnote w:id="14">
    <w:p w14:paraId="58442643" w14:textId="056AD05A" w:rsidR="00387302" w:rsidRDefault="00387302" w:rsidP="002E07CB">
      <w:pPr>
        <w:pStyle w:val="FootnoteText"/>
      </w:pPr>
      <w:r>
        <w:rPr>
          <w:rStyle w:val="FootnoteReference"/>
        </w:rPr>
        <w:footnoteRef/>
      </w:r>
      <w:r>
        <w:t xml:space="preserve"> For an overview on Christian-Muslim dialogue from the 8</w:t>
      </w:r>
      <w:r w:rsidRPr="002E07CB">
        <w:rPr>
          <w:vertAlign w:val="superscript"/>
        </w:rPr>
        <w:t>th</w:t>
      </w:r>
      <w:r>
        <w:t>-12</w:t>
      </w:r>
      <w:r w:rsidRPr="002E07CB">
        <w:rPr>
          <w:vertAlign w:val="superscript"/>
        </w:rPr>
        <w:t>th</w:t>
      </w:r>
      <w:r>
        <w:t xml:space="preserve"> centuries, see </w:t>
      </w:r>
      <w:proofErr w:type="spellStart"/>
      <w:r>
        <w:t>Siddiqui</w:t>
      </w:r>
      <w:proofErr w:type="spellEnd"/>
      <w:r>
        <w:t xml:space="preserve"> 2013: 6-96. Unfortunately, contemporary scholarship on Christian-Muslim dialogue tends to neglect the polemics of the medieval period.  </w:t>
      </w:r>
      <w:proofErr w:type="spellStart"/>
      <w:r>
        <w:t>Siddiqui</w:t>
      </w:r>
      <w:proofErr w:type="spellEnd"/>
      <w:r>
        <w:t xml:space="preserve"> rightly notes the significance of works from this time period: “Such writings can be used today in the area of interreligious dialogue to show how believers can share a passion about their own beliefs but also be passionate about making these beliefs comprehensible to others. For in fact, similar conversations have the potential to enrich the encounter between Muslims and Christians rather than diminish good relations” (2013: 96).</w:t>
      </w:r>
    </w:p>
  </w:footnote>
  <w:footnote w:id="15">
    <w:p w14:paraId="64BD2150" w14:textId="35F31D9F" w:rsidR="00387302" w:rsidRPr="001B573E" w:rsidRDefault="00387302" w:rsidP="001B573E">
      <w:pPr>
        <w:pStyle w:val="FootnoteText"/>
      </w:pPr>
      <w:r>
        <w:rPr>
          <w:rStyle w:val="FootnoteReference"/>
        </w:rPr>
        <w:footnoteRef/>
      </w:r>
      <w:r>
        <w:t xml:space="preserve"> Michael Wolfe proposes a fascinating reading of the Gospel of John based on the teachings of </w:t>
      </w:r>
      <w:proofErr w:type="spellStart"/>
      <w:r>
        <w:t>Ibn</w:t>
      </w:r>
      <w:proofErr w:type="spellEnd"/>
      <w:r>
        <w:t xml:space="preserve"> al-‘</w:t>
      </w:r>
      <w:proofErr w:type="spellStart"/>
      <w:r>
        <w:t>Arabi</w:t>
      </w:r>
      <w:proofErr w:type="spellEnd"/>
      <w:r>
        <w:t>.  (Wolfe 2016).</w:t>
      </w:r>
    </w:p>
  </w:footnote>
  <w:footnote w:id="16">
    <w:p w14:paraId="37D196E3" w14:textId="31A88D4E" w:rsidR="00387302" w:rsidRDefault="00387302">
      <w:pPr>
        <w:pStyle w:val="FootnoteText"/>
      </w:pPr>
      <w:r>
        <w:rPr>
          <w:rStyle w:val="FootnoteReference"/>
        </w:rPr>
        <w:footnoteRef/>
      </w:r>
      <w:r>
        <w:t xml:space="preserve"> Like the </w:t>
      </w:r>
      <w:proofErr w:type="spellStart"/>
      <w:r>
        <w:t>Gosepl</w:t>
      </w:r>
      <w:proofErr w:type="spellEnd"/>
      <w:r>
        <w:t xml:space="preserve"> of John, </w:t>
      </w:r>
      <w:proofErr w:type="spellStart"/>
      <w:r>
        <w:t>Ibn</w:t>
      </w:r>
      <w:proofErr w:type="spellEnd"/>
      <w:r>
        <w:t xml:space="preserve"> al-‘</w:t>
      </w:r>
      <w:proofErr w:type="spellStart"/>
      <w:r>
        <w:t>Arabi</w:t>
      </w:r>
      <w:proofErr w:type="spellEnd"/>
      <w:r>
        <w:t xml:space="preserve"> sees truth as hermeneutic of encounter.  As </w:t>
      </w:r>
      <w:proofErr w:type="spellStart"/>
      <w:r w:rsidRPr="00180C79">
        <w:t>Chittick</w:t>
      </w:r>
      <w:proofErr w:type="spellEnd"/>
      <w:r w:rsidRPr="00180C79">
        <w:t xml:space="preserve"> states, “Hermeneutics is not a rational process, but an encounter with the divine self-disclosure, an opening of the heart toward inf</w:t>
      </w:r>
      <w:r>
        <w:t>inite wisdom</w:t>
      </w:r>
      <w:r w:rsidRPr="00180C79">
        <w:t>”</w:t>
      </w:r>
      <w:r>
        <w:t xml:space="preserve"> (</w:t>
      </w:r>
      <w:proofErr w:type="spellStart"/>
      <w:r>
        <w:t>Chittick</w:t>
      </w:r>
      <w:proofErr w:type="spellEnd"/>
      <w:r>
        <w:t xml:space="preserve"> 1989: 130)</w:t>
      </w:r>
      <w:r w:rsidRPr="00180C79">
        <w:t>.</w:t>
      </w:r>
    </w:p>
  </w:footnote>
  <w:footnote w:id="17">
    <w:p w14:paraId="1EFCED38" w14:textId="07740D9D" w:rsidR="00387302" w:rsidRDefault="00387302">
      <w:pPr>
        <w:pStyle w:val="FootnoteText"/>
      </w:pPr>
      <w:r>
        <w:rPr>
          <w:rStyle w:val="FootnoteReference"/>
        </w:rPr>
        <w:footnoteRef/>
      </w:r>
      <w:r>
        <w:t xml:space="preserve"> Unlike pluralism, my model of interreligious dialogue would not require agnosticism.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18F"/>
    <w:multiLevelType w:val="hybridMultilevel"/>
    <w:tmpl w:val="7BA4BC70"/>
    <w:lvl w:ilvl="0" w:tplc="7BDA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2158F"/>
    <w:multiLevelType w:val="hybridMultilevel"/>
    <w:tmpl w:val="712AF276"/>
    <w:lvl w:ilvl="0" w:tplc="C1A8BD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C6AE6"/>
    <w:multiLevelType w:val="hybridMultilevel"/>
    <w:tmpl w:val="31E0EF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EB"/>
    <w:rsid w:val="00000161"/>
    <w:rsid w:val="000079E5"/>
    <w:rsid w:val="00016A39"/>
    <w:rsid w:val="00017E00"/>
    <w:rsid w:val="00040180"/>
    <w:rsid w:val="00045A81"/>
    <w:rsid w:val="00051ED5"/>
    <w:rsid w:val="0005729E"/>
    <w:rsid w:val="0005744D"/>
    <w:rsid w:val="00094E3C"/>
    <w:rsid w:val="000950B3"/>
    <w:rsid w:val="000A79DF"/>
    <w:rsid w:val="000B1055"/>
    <w:rsid w:val="000B7E16"/>
    <w:rsid w:val="000D1F0F"/>
    <w:rsid w:val="000D469D"/>
    <w:rsid w:val="000D4BBC"/>
    <w:rsid w:val="000D7BC8"/>
    <w:rsid w:val="000E1164"/>
    <w:rsid w:val="000E57DA"/>
    <w:rsid w:val="000F3AD0"/>
    <w:rsid w:val="000F45EB"/>
    <w:rsid w:val="0010523E"/>
    <w:rsid w:val="001145C5"/>
    <w:rsid w:val="0011563F"/>
    <w:rsid w:val="00121BE7"/>
    <w:rsid w:val="00137BAE"/>
    <w:rsid w:val="00147522"/>
    <w:rsid w:val="00147CC1"/>
    <w:rsid w:val="00163831"/>
    <w:rsid w:val="001641E2"/>
    <w:rsid w:val="00167582"/>
    <w:rsid w:val="00176767"/>
    <w:rsid w:val="00176B86"/>
    <w:rsid w:val="0018097D"/>
    <w:rsid w:val="00180C79"/>
    <w:rsid w:val="00191F81"/>
    <w:rsid w:val="00194D0A"/>
    <w:rsid w:val="0019525D"/>
    <w:rsid w:val="001A718C"/>
    <w:rsid w:val="001B0F54"/>
    <w:rsid w:val="001B573E"/>
    <w:rsid w:val="001C1E7C"/>
    <w:rsid w:val="001C6467"/>
    <w:rsid w:val="001D0659"/>
    <w:rsid w:val="001D3772"/>
    <w:rsid w:val="001D5BD7"/>
    <w:rsid w:val="001E556A"/>
    <w:rsid w:val="001E5FA6"/>
    <w:rsid w:val="001F0304"/>
    <w:rsid w:val="00210387"/>
    <w:rsid w:val="00216458"/>
    <w:rsid w:val="00221B18"/>
    <w:rsid w:val="00221BB4"/>
    <w:rsid w:val="002338EB"/>
    <w:rsid w:val="002469DA"/>
    <w:rsid w:val="00250AF3"/>
    <w:rsid w:val="00251AF8"/>
    <w:rsid w:val="0026308A"/>
    <w:rsid w:val="0027329D"/>
    <w:rsid w:val="0027685C"/>
    <w:rsid w:val="002822CA"/>
    <w:rsid w:val="002871DA"/>
    <w:rsid w:val="00297AC8"/>
    <w:rsid w:val="00297B80"/>
    <w:rsid w:val="002A7505"/>
    <w:rsid w:val="002C16E7"/>
    <w:rsid w:val="002C4FB4"/>
    <w:rsid w:val="002C676A"/>
    <w:rsid w:val="002C6F79"/>
    <w:rsid w:val="002D0C7B"/>
    <w:rsid w:val="002D4F93"/>
    <w:rsid w:val="002D73BB"/>
    <w:rsid w:val="002E07CB"/>
    <w:rsid w:val="002F0D22"/>
    <w:rsid w:val="002F4B03"/>
    <w:rsid w:val="002F50DE"/>
    <w:rsid w:val="00305CD4"/>
    <w:rsid w:val="00310CC4"/>
    <w:rsid w:val="0033441F"/>
    <w:rsid w:val="00354892"/>
    <w:rsid w:val="00354FF1"/>
    <w:rsid w:val="00355084"/>
    <w:rsid w:val="00361308"/>
    <w:rsid w:val="00370B32"/>
    <w:rsid w:val="003778DD"/>
    <w:rsid w:val="00387302"/>
    <w:rsid w:val="003959CE"/>
    <w:rsid w:val="003A7D06"/>
    <w:rsid w:val="003B5326"/>
    <w:rsid w:val="003C4073"/>
    <w:rsid w:val="003D11F4"/>
    <w:rsid w:val="003D5ABE"/>
    <w:rsid w:val="003D778D"/>
    <w:rsid w:val="003E6A3D"/>
    <w:rsid w:val="00406511"/>
    <w:rsid w:val="00411CEB"/>
    <w:rsid w:val="00423184"/>
    <w:rsid w:val="00424D2D"/>
    <w:rsid w:val="00434086"/>
    <w:rsid w:val="004347B2"/>
    <w:rsid w:val="00444298"/>
    <w:rsid w:val="00446707"/>
    <w:rsid w:val="004555F8"/>
    <w:rsid w:val="00464F86"/>
    <w:rsid w:val="00470281"/>
    <w:rsid w:val="00480198"/>
    <w:rsid w:val="00484ADE"/>
    <w:rsid w:val="0048679C"/>
    <w:rsid w:val="00495727"/>
    <w:rsid w:val="004A5138"/>
    <w:rsid w:val="004B6109"/>
    <w:rsid w:val="004D0832"/>
    <w:rsid w:val="004E0272"/>
    <w:rsid w:val="004F5C77"/>
    <w:rsid w:val="004F77D6"/>
    <w:rsid w:val="00501250"/>
    <w:rsid w:val="0050307A"/>
    <w:rsid w:val="005103CF"/>
    <w:rsid w:val="0052142D"/>
    <w:rsid w:val="00521C4E"/>
    <w:rsid w:val="00522EF3"/>
    <w:rsid w:val="0052384B"/>
    <w:rsid w:val="00525672"/>
    <w:rsid w:val="0053259F"/>
    <w:rsid w:val="00532DCB"/>
    <w:rsid w:val="005456A2"/>
    <w:rsid w:val="005459E0"/>
    <w:rsid w:val="00552F9C"/>
    <w:rsid w:val="00572971"/>
    <w:rsid w:val="00577E8C"/>
    <w:rsid w:val="005A6701"/>
    <w:rsid w:val="005B096D"/>
    <w:rsid w:val="005B380D"/>
    <w:rsid w:val="005B41E4"/>
    <w:rsid w:val="005B5AFB"/>
    <w:rsid w:val="005E09F6"/>
    <w:rsid w:val="005E56A9"/>
    <w:rsid w:val="00605752"/>
    <w:rsid w:val="00616000"/>
    <w:rsid w:val="0061736E"/>
    <w:rsid w:val="00621457"/>
    <w:rsid w:val="006415BE"/>
    <w:rsid w:val="00641EE1"/>
    <w:rsid w:val="006520EA"/>
    <w:rsid w:val="00655595"/>
    <w:rsid w:val="00676092"/>
    <w:rsid w:val="006775B6"/>
    <w:rsid w:val="006834B9"/>
    <w:rsid w:val="00684A04"/>
    <w:rsid w:val="006A4F95"/>
    <w:rsid w:val="006B54F7"/>
    <w:rsid w:val="006C3092"/>
    <w:rsid w:val="006D0000"/>
    <w:rsid w:val="006D1B2B"/>
    <w:rsid w:val="006D523B"/>
    <w:rsid w:val="006D68B5"/>
    <w:rsid w:val="006E5710"/>
    <w:rsid w:val="006E6999"/>
    <w:rsid w:val="006F1CA2"/>
    <w:rsid w:val="00706227"/>
    <w:rsid w:val="007101CA"/>
    <w:rsid w:val="0072605C"/>
    <w:rsid w:val="0073080D"/>
    <w:rsid w:val="00730DE5"/>
    <w:rsid w:val="007319DC"/>
    <w:rsid w:val="0073405E"/>
    <w:rsid w:val="00734430"/>
    <w:rsid w:val="007570F2"/>
    <w:rsid w:val="00760A56"/>
    <w:rsid w:val="00761304"/>
    <w:rsid w:val="00763856"/>
    <w:rsid w:val="00772734"/>
    <w:rsid w:val="007754D6"/>
    <w:rsid w:val="00775781"/>
    <w:rsid w:val="00797406"/>
    <w:rsid w:val="00797924"/>
    <w:rsid w:val="00797CF5"/>
    <w:rsid w:val="00797E98"/>
    <w:rsid w:val="007A3938"/>
    <w:rsid w:val="007A5A45"/>
    <w:rsid w:val="007A6044"/>
    <w:rsid w:val="007B2E16"/>
    <w:rsid w:val="007C4A5F"/>
    <w:rsid w:val="007D5170"/>
    <w:rsid w:val="007D78E8"/>
    <w:rsid w:val="007D7F79"/>
    <w:rsid w:val="007E307A"/>
    <w:rsid w:val="007E3A38"/>
    <w:rsid w:val="007F06FE"/>
    <w:rsid w:val="007F1BBF"/>
    <w:rsid w:val="007F26D2"/>
    <w:rsid w:val="00804F2C"/>
    <w:rsid w:val="00815203"/>
    <w:rsid w:val="0083235C"/>
    <w:rsid w:val="00835270"/>
    <w:rsid w:val="008418B4"/>
    <w:rsid w:val="0084386F"/>
    <w:rsid w:val="00862413"/>
    <w:rsid w:val="00871680"/>
    <w:rsid w:val="00871F24"/>
    <w:rsid w:val="00890567"/>
    <w:rsid w:val="008906B3"/>
    <w:rsid w:val="00896A42"/>
    <w:rsid w:val="008A2E74"/>
    <w:rsid w:val="008A3CBD"/>
    <w:rsid w:val="008A6D34"/>
    <w:rsid w:val="008B4EBE"/>
    <w:rsid w:val="008B53C0"/>
    <w:rsid w:val="008C1550"/>
    <w:rsid w:val="008C3552"/>
    <w:rsid w:val="008C3631"/>
    <w:rsid w:val="008C6A37"/>
    <w:rsid w:val="008C77E1"/>
    <w:rsid w:val="008D6BE1"/>
    <w:rsid w:val="008E106A"/>
    <w:rsid w:val="008E477B"/>
    <w:rsid w:val="008E7D16"/>
    <w:rsid w:val="0090229D"/>
    <w:rsid w:val="0090338E"/>
    <w:rsid w:val="00904DF7"/>
    <w:rsid w:val="00906A20"/>
    <w:rsid w:val="00912EAC"/>
    <w:rsid w:val="00913EF7"/>
    <w:rsid w:val="009222AB"/>
    <w:rsid w:val="00933925"/>
    <w:rsid w:val="0093470A"/>
    <w:rsid w:val="009415D2"/>
    <w:rsid w:val="00954503"/>
    <w:rsid w:val="009547C2"/>
    <w:rsid w:val="009569B7"/>
    <w:rsid w:val="009604A8"/>
    <w:rsid w:val="009772B8"/>
    <w:rsid w:val="00981E09"/>
    <w:rsid w:val="00985F5C"/>
    <w:rsid w:val="00990B80"/>
    <w:rsid w:val="00992D0C"/>
    <w:rsid w:val="00994250"/>
    <w:rsid w:val="009C04B4"/>
    <w:rsid w:val="009C1946"/>
    <w:rsid w:val="009C3AAD"/>
    <w:rsid w:val="009C769F"/>
    <w:rsid w:val="009D384E"/>
    <w:rsid w:val="009F71E4"/>
    <w:rsid w:val="00A31A3C"/>
    <w:rsid w:val="00A42078"/>
    <w:rsid w:val="00A52EA6"/>
    <w:rsid w:val="00A65DA0"/>
    <w:rsid w:val="00A7366F"/>
    <w:rsid w:val="00A902D2"/>
    <w:rsid w:val="00A96E92"/>
    <w:rsid w:val="00A96FAE"/>
    <w:rsid w:val="00AA76EE"/>
    <w:rsid w:val="00AB7538"/>
    <w:rsid w:val="00AC53A4"/>
    <w:rsid w:val="00AD6F0E"/>
    <w:rsid w:val="00AD730F"/>
    <w:rsid w:val="00AE4381"/>
    <w:rsid w:val="00AF0841"/>
    <w:rsid w:val="00B01EA9"/>
    <w:rsid w:val="00B11C1C"/>
    <w:rsid w:val="00B21452"/>
    <w:rsid w:val="00B2152B"/>
    <w:rsid w:val="00B21686"/>
    <w:rsid w:val="00B36B4D"/>
    <w:rsid w:val="00B46A3E"/>
    <w:rsid w:val="00B70CB8"/>
    <w:rsid w:val="00B84F3B"/>
    <w:rsid w:val="00BB49B9"/>
    <w:rsid w:val="00BD0B21"/>
    <w:rsid w:val="00BD6380"/>
    <w:rsid w:val="00BE2D7A"/>
    <w:rsid w:val="00BE7DA1"/>
    <w:rsid w:val="00C0060A"/>
    <w:rsid w:val="00C11B26"/>
    <w:rsid w:val="00C13FD7"/>
    <w:rsid w:val="00C30D83"/>
    <w:rsid w:val="00C32318"/>
    <w:rsid w:val="00C3498E"/>
    <w:rsid w:val="00C34FB8"/>
    <w:rsid w:val="00C4662D"/>
    <w:rsid w:val="00C53034"/>
    <w:rsid w:val="00C57BDB"/>
    <w:rsid w:val="00C645B7"/>
    <w:rsid w:val="00C83E9E"/>
    <w:rsid w:val="00C913AA"/>
    <w:rsid w:val="00CA6745"/>
    <w:rsid w:val="00CB118A"/>
    <w:rsid w:val="00CB261F"/>
    <w:rsid w:val="00CC7451"/>
    <w:rsid w:val="00CD5F2D"/>
    <w:rsid w:val="00CD6CF3"/>
    <w:rsid w:val="00CE5338"/>
    <w:rsid w:val="00CF5477"/>
    <w:rsid w:val="00CF7620"/>
    <w:rsid w:val="00D0327B"/>
    <w:rsid w:val="00D12EB6"/>
    <w:rsid w:val="00D2628F"/>
    <w:rsid w:val="00D432DF"/>
    <w:rsid w:val="00D44CA5"/>
    <w:rsid w:val="00D4661C"/>
    <w:rsid w:val="00D47340"/>
    <w:rsid w:val="00D52239"/>
    <w:rsid w:val="00D523A0"/>
    <w:rsid w:val="00D56F21"/>
    <w:rsid w:val="00D60FAC"/>
    <w:rsid w:val="00D8232B"/>
    <w:rsid w:val="00D86576"/>
    <w:rsid w:val="00D90AA6"/>
    <w:rsid w:val="00D9343F"/>
    <w:rsid w:val="00D97986"/>
    <w:rsid w:val="00D97E4A"/>
    <w:rsid w:val="00DA1073"/>
    <w:rsid w:val="00DA1C23"/>
    <w:rsid w:val="00DA464D"/>
    <w:rsid w:val="00DB504C"/>
    <w:rsid w:val="00DB644A"/>
    <w:rsid w:val="00DC46A6"/>
    <w:rsid w:val="00DE3773"/>
    <w:rsid w:val="00DE4BDF"/>
    <w:rsid w:val="00DE6FC3"/>
    <w:rsid w:val="00DF2DA9"/>
    <w:rsid w:val="00E00228"/>
    <w:rsid w:val="00E12BBB"/>
    <w:rsid w:val="00E20B70"/>
    <w:rsid w:val="00E30E40"/>
    <w:rsid w:val="00E30EF5"/>
    <w:rsid w:val="00E32097"/>
    <w:rsid w:val="00E565E4"/>
    <w:rsid w:val="00E66ABF"/>
    <w:rsid w:val="00E85DDD"/>
    <w:rsid w:val="00E917F8"/>
    <w:rsid w:val="00EA1570"/>
    <w:rsid w:val="00EA330F"/>
    <w:rsid w:val="00EA564F"/>
    <w:rsid w:val="00EA6FEC"/>
    <w:rsid w:val="00EC3041"/>
    <w:rsid w:val="00EC3F6D"/>
    <w:rsid w:val="00EC48FB"/>
    <w:rsid w:val="00EE040C"/>
    <w:rsid w:val="00EE5DAB"/>
    <w:rsid w:val="00EF14EF"/>
    <w:rsid w:val="00EF7C48"/>
    <w:rsid w:val="00F013EE"/>
    <w:rsid w:val="00F036D8"/>
    <w:rsid w:val="00F279EA"/>
    <w:rsid w:val="00F30C71"/>
    <w:rsid w:val="00F4302C"/>
    <w:rsid w:val="00F56EB6"/>
    <w:rsid w:val="00F634A8"/>
    <w:rsid w:val="00F665FE"/>
    <w:rsid w:val="00F66923"/>
    <w:rsid w:val="00F67CF2"/>
    <w:rsid w:val="00F84104"/>
    <w:rsid w:val="00F95CD5"/>
    <w:rsid w:val="00F96FE9"/>
    <w:rsid w:val="00FA1248"/>
    <w:rsid w:val="00FA2143"/>
    <w:rsid w:val="00FC05E3"/>
    <w:rsid w:val="00FC6DBC"/>
    <w:rsid w:val="00FD263C"/>
    <w:rsid w:val="00FD2AD4"/>
    <w:rsid w:val="00FE3030"/>
    <w:rsid w:val="00FE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5E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EB"/>
    <w:pPr>
      <w:ind w:left="720"/>
      <w:contextualSpacing/>
    </w:pPr>
  </w:style>
  <w:style w:type="paragraph" w:styleId="FootnoteText">
    <w:name w:val="footnote text"/>
    <w:basedOn w:val="Normal"/>
    <w:link w:val="FootnoteTextChar"/>
    <w:uiPriority w:val="99"/>
    <w:unhideWhenUsed/>
    <w:rsid w:val="00676092"/>
  </w:style>
  <w:style w:type="character" w:customStyle="1" w:styleId="FootnoteTextChar">
    <w:name w:val="Footnote Text Char"/>
    <w:basedOn w:val="DefaultParagraphFont"/>
    <w:link w:val="FootnoteText"/>
    <w:uiPriority w:val="99"/>
    <w:rsid w:val="00676092"/>
  </w:style>
  <w:style w:type="character" w:styleId="FootnoteReference">
    <w:name w:val="footnote reference"/>
    <w:basedOn w:val="DefaultParagraphFont"/>
    <w:uiPriority w:val="99"/>
    <w:unhideWhenUsed/>
    <w:rsid w:val="00676092"/>
    <w:rPr>
      <w:vertAlign w:val="superscript"/>
    </w:rPr>
  </w:style>
  <w:style w:type="paragraph" w:styleId="Footer">
    <w:name w:val="footer"/>
    <w:basedOn w:val="Normal"/>
    <w:link w:val="FooterChar"/>
    <w:uiPriority w:val="99"/>
    <w:unhideWhenUsed/>
    <w:rsid w:val="00194D0A"/>
    <w:pPr>
      <w:tabs>
        <w:tab w:val="center" w:pos="4680"/>
        <w:tab w:val="right" w:pos="9360"/>
      </w:tabs>
    </w:pPr>
  </w:style>
  <w:style w:type="character" w:customStyle="1" w:styleId="FooterChar">
    <w:name w:val="Footer Char"/>
    <w:basedOn w:val="DefaultParagraphFont"/>
    <w:link w:val="Footer"/>
    <w:uiPriority w:val="99"/>
    <w:rsid w:val="00194D0A"/>
  </w:style>
  <w:style w:type="character" w:styleId="PageNumber">
    <w:name w:val="page number"/>
    <w:basedOn w:val="DefaultParagraphFont"/>
    <w:uiPriority w:val="99"/>
    <w:semiHidden/>
    <w:unhideWhenUsed/>
    <w:rsid w:val="00194D0A"/>
  </w:style>
  <w:style w:type="paragraph" w:styleId="BalloonText">
    <w:name w:val="Balloon Text"/>
    <w:basedOn w:val="Normal"/>
    <w:link w:val="BalloonTextChar"/>
    <w:uiPriority w:val="99"/>
    <w:semiHidden/>
    <w:unhideWhenUsed/>
    <w:rsid w:val="00194D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D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4D0A"/>
    <w:rPr>
      <w:sz w:val="18"/>
      <w:szCs w:val="18"/>
    </w:rPr>
  </w:style>
  <w:style w:type="paragraph" w:styleId="CommentText">
    <w:name w:val="annotation text"/>
    <w:basedOn w:val="Normal"/>
    <w:link w:val="CommentTextChar"/>
    <w:uiPriority w:val="99"/>
    <w:semiHidden/>
    <w:unhideWhenUsed/>
    <w:rsid w:val="00194D0A"/>
  </w:style>
  <w:style w:type="character" w:customStyle="1" w:styleId="CommentTextChar">
    <w:name w:val="Comment Text Char"/>
    <w:basedOn w:val="DefaultParagraphFont"/>
    <w:link w:val="CommentText"/>
    <w:uiPriority w:val="99"/>
    <w:semiHidden/>
    <w:rsid w:val="00194D0A"/>
  </w:style>
  <w:style w:type="paragraph" w:styleId="CommentSubject">
    <w:name w:val="annotation subject"/>
    <w:basedOn w:val="CommentText"/>
    <w:next w:val="CommentText"/>
    <w:link w:val="CommentSubjectChar"/>
    <w:uiPriority w:val="99"/>
    <w:semiHidden/>
    <w:unhideWhenUsed/>
    <w:rsid w:val="00194D0A"/>
    <w:rPr>
      <w:b/>
      <w:bCs/>
      <w:sz w:val="20"/>
      <w:szCs w:val="20"/>
    </w:rPr>
  </w:style>
  <w:style w:type="character" w:customStyle="1" w:styleId="CommentSubjectChar">
    <w:name w:val="Comment Subject Char"/>
    <w:basedOn w:val="CommentTextChar"/>
    <w:link w:val="CommentSubject"/>
    <w:uiPriority w:val="99"/>
    <w:semiHidden/>
    <w:rsid w:val="00194D0A"/>
    <w:rPr>
      <w:b/>
      <w:bCs/>
      <w:sz w:val="20"/>
      <w:szCs w:val="20"/>
    </w:rPr>
  </w:style>
  <w:style w:type="character" w:styleId="Strong">
    <w:name w:val="Strong"/>
    <w:basedOn w:val="DefaultParagraphFont"/>
    <w:uiPriority w:val="22"/>
    <w:qFormat/>
    <w:rsid w:val="00194D0A"/>
    <w:rPr>
      <w:b/>
      <w:bCs/>
    </w:rPr>
  </w:style>
  <w:style w:type="paragraph" w:styleId="Revision">
    <w:name w:val="Revision"/>
    <w:hidden/>
    <w:uiPriority w:val="99"/>
    <w:semiHidden/>
    <w:rsid w:val="00775781"/>
  </w:style>
  <w:style w:type="paragraph" w:styleId="Header">
    <w:name w:val="header"/>
    <w:basedOn w:val="Normal"/>
    <w:link w:val="HeaderChar"/>
    <w:uiPriority w:val="99"/>
    <w:unhideWhenUsed/>
    <w:rsid w:val="0083235C"/>
    <w:pPr>
      <w:tabs>
        <w:tab w:val="center" w:pos="4320"/>
        <w:tab w:val="right" w:pos="8640"/>
      </w:tabs>
    </w:pPr>
  </w:style>
  <w:style w:type="character" w:customStyle="1" w:styleId="HeaderChar">
    <w:name w:val="Header Char"/>
    <w:basedOn w:val="DefaultParagraphFont"/>
    <w:link w:val="Header"/>
    <w:uiPriority w:val="99"/>
    <w:rsid w:val="008323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EB"/>
    <w:pPr>
      <w:ind w:left="720"/>
      <w:contextualSpacing/>
    </w:pPr>
  </w:style>
  <w:style w:type="paragraph" w:styleId="FootnoteText">
    <w:name w:val="footnote text"/>
    <w:basedOn w:val="Normal"/>
    <w:link w:val="FootnoteTextChar"/>
    <w:uiPriority w:val="99"/>
    <w:unhideWhenUsed/>
    <w:rsid w:val="00676092"/>
  </w:style>
  <w:style w:type="character" w:customStyle="1" w:styleId="FootnoteTextChar">
    <w:name w:val="Footnote Text Char"/>
    <w:basedOn w:val="DefaultParagraphFont"/>
    <w:link w:val="FootnoteText"/>
    <w:uiPriority w:val="99"/>
    <w:rsid w:val="00676092"/>
  </w:style>
  <w:style w:type="character" w:styleId="FootnoteReference">
    <w:name w:val="footnote reference"/>
    <w:basedOn w:val="DefaultParagraphFont"/>
    <w:uiPriority w:val="99"/>
    <w:unhideWhenUsed/>
    <w:rsid w:val="00676092"/>
    <w:rPr>
      <w:vertAlign w:val="superscript"/>
    </w:rPr>
  </w:style>
  <w:style w:type="paragraph" w:styleId="Footer">
    <w:name w:val="footer"/>
    <w:basedOn w:val="Normal"/>
    <w:link w:val="FooterChar"/>
    <w:uiPriority w:val="99"/>
    <w:unhideWhenUsed/>
    <w:rsid w:val="00194D0A"/>
    <w:pPr>
      <w:tabs>
        <w:tab w:val="center" w:pos="4680"/>
        <w:tab w:val="right" w:pos="9360"/>
      </w:tabs>
    </w:pPr>
  </w:style>
  <w:style w:type="character" w:customStyle="1" w:styleId="FooterChar">
    <w:name w:val="Footer Char"/>
    <w:basedOn w:val="DefaultParagraphFont"/>
    <w:link w:val="Footer"/>
    <w:uiPriority w:val="99"/>
    <w:rsid w:val="00194D0A"/>
  </w:style>
  <w:style w:type="character" w:styleId="PageNumber">
    <w:name w:val="page number"/>
    <w:basedOn w:val="DefaultParagraphFont"/>
    <w:uiPriority w:val="99"/>
    <w:semiHidden/>
    <w:unhideWhenUsed/>
    <w:rsid w:val="00194D0A"/>
  </w:style>
  <w:style w:type="paragraph" w:styleId="BalloonText">
    <w:name w:val="Balloon Text"/>
    <w:basedOn w:val="Normal"/>
    <w:link w:val="BalloonTextChar"/>
    <w:uiPriority w:val="99"/>
    <w:semiHidden/>
    <w:unhideWhenUsed/>
    <w:rsid w:val="00194D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D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4D0A"/>
    <w:rPr>
      <w:sz w:val="18"/>
      <w:szCs w:val="18"/>
    </w:rPr>
  </w:style>
  <w:style w:type="paragraph" w:styleId="CommentText">
    <w:name w:val="annotation text"/>
    <w:basedOn w:val="Normal"/>
    <w:link w:val="CommentTextChar"/>
    <w:uiPriority w:val="99"/>
    <w:semiHidden/>
    <w:unhideWhenUsed/>
    <w:rsid w:val="00194D0A"/>
  </w:style>
  <w:style w:type="character" w:customStyle="1" w:styleId="CommentTextChar">
    <w:name w:val="Comment Text Char"/>
    <w:basedOn w:val="DefaultParagraphFont"/>
    <w:link w:val="CommentText"/>
    <w:uiPriority w:val="99"/>
    <w:semiHidden/>
    <w:rsid w:val="00194D0A"/>
  </w:style>
  <w:style w:type="paragraph" w:styleId="CommentSubject">
    <w:name w:val="annotation subject"/>
    <w:basedOn w:val="CommentText"/>
    <w:next w:val="CommentText"/>
    <w:link w:val="CommentSubjectChar"/>
    <w:uiPriority w:val="99"/>
    <w:semiHidden/>
    <w:unhideWhenUsed/>
    <w:rsid w:val="00194D0A"/>
    <w:rPr>
      <w:b/>
      <w:bCs/>
      <w:sz w:val="20"/>
      <w:szCs w:val="20"/>
    </w:rPr>
  </w:style>
  <w:style w:type="character" w:customStyle="1" w:styleId="CommentSubjectChar">
    <w:name w:val="Comment Subject Char"/>
    <w:basedOn w:val="CommentTextChar"/>
    <w:link w:val="CommentSubject"/>
    <w:uiPriority w:val="99"/>
    <w:semiHidden/>
    <w:rsid w:val="00194D0A"/>
    <w:rPr>
      <w:b/>
      <w:bCs/>
      <w:sz w:val="20"/>
      <w:szCs w:val="20"/>
    </w:rPr>
  </w:style>
  <w:style w:type="character" w:styleId="Strong">
    <w:name w:val="Strong"/>
    <w:basedOn w:val="DefaultParagraphFont"/>
    <w:uiPriority w:val="22"/>
    <w:qFormat/>
    <w:rsid w:val="00194D0A"/>
    <w:rPr>
      <w:b/>
      <w:bCs/>
    </w:rPr>
  </w:style>
  <w:style w:type="paragraph" w:styleId="Revision">
    <w:name w:val="Revision"/>
    <w:hidden/>
    <w:uiPriority w:val="99"/>
    <w:semiHidden/>
    <w:rsid w:val="00775781"/>
  </w:style>
  <w:style w:type="paragraph" w:styleId="Header">
    <w:name w:val="header"/>
    <w:basedOn w:val="Normal"/>
    <w:link w:val="HeaderChar"/>
    <w:uiPriority w:val="99"/>
    <w:unhideWhenUsed/>
    <w:rsid w:val="0083235C"/>
    <w:pPr>
      <w:tabs>
        <w:tab w:val="center" w:pos="4320"/>
        <w:tab w:val="right" w:pos="8640"/>
      </w:tabs>
    </w:pPr>
  </w:style>
  <w:style w:type="character" w:customStyle="1" w:styleId="HeaderChar">
    <w:name w:val="Header Char"/>
    <w:basedOn w:val="DefaultParagraphFont"/>
    <w:link w:val="Header"/>
    <w:uiPriority w:val="99"/>
    <w:rsid w:val="0083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7206</Words>
  <Characters>41077</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Emory &amp; Henry College</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8</cp:revision>
  <cp:lastPrinted>2017-01-24T02:45:00Z</cp:lastPrinted>
  <dcterms:created xsi:type="dcterms:W3CDTF">2017-03-24T20:48:00Z</dcterms:created>
  <dcterms:modified xsi:type="dcterms:W3CDTF">2017-03-24T20:56:00Z</dcterms:modified>
</cp:coreProperties>
</file>